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F8C6" w14:textId="77777777" w:rsidR="00520A67" w:rsidRDefault="00520A67">
      <w:pPr>
        <w:pStyle w:val="Normal1"/>
        <w:jc w:val="center"/>
      </w:pPr>
    </w:p>
    <w:p w14:paraId="6A50B3E3" w14:textId="3D46ADD1" w:rsidR="00831006" w:rsidRDefault="00E47372">
      <w:pPr>
        <w:pStyle w:val="Normal1"/>
        <w:jc w:val="center"/>
      </w:pPr>
      <w:r>
        <w:t xml:space="preserve">INDICAÇÃO Nº </w:t>
      </w:r>
      <w:r w:rsidR="00520A67">
        <w:t xml:space="preserve">      </w:t>
      </w:r>
      <w:r w:rsidR="007C124A">
        <w:t xml:space="preserve"> </w:t>
      </w:r>
      <w:r>
        <w:t>/2025</w:t>
      </w:r>
    </w:p>
    <w:p w14:paraId="351208D2" w14:textId="77777777" w:rsidR="00831006" w:rsidRDefault="00831006">
      <w:pPr>
        <w:pStyle w:val="Normal1"/>
      </w:pPr>
    </w:p>
    <w:p w14:paraId="00BE3D4B" w14:textId="77777777" w:rsidR="00831006" w:rsidRDefault="00831006"/>
    <w:p w14:paraId="129B3023" w14:textId="23A8DAD0" w:rsidR="003F602C" w:rsidRDefault="00E47372" w:rsidP="003F602C">
      <w:pPr>
        <w:jc w:val="both"/>
      </w:pPr>
      <w:r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>
        <w:rPr>
          <w:rFonts w:ascii="Calibri" w:eastAsia="Calibri" w:hAnsi="Calibri" w:cs="Calibri"/>
          <w:color w:val="212529"/>
          <w:sz w:val="28"/>
          <w:szCs w:val="28"/>
        </w:rPr>
        <w:t xml:space="preserve">ao Excelentíssimo Senhor Chefe do Poder Executivo Municipal, através do órgão competente da Administração Pública Municipal, </w:t>
      </w:r>
      <w:r w:rsidR="00B92F6D">
        <w:rPr>
          <w:rFonts w:ascii="Calibri" w:eastAsia="Calibri" w:hAnsi="Calibri" w:cs="Calibri"/>
          <w:color w:val="212529"/>
          <w:sz w:val="28"/>
          <w:szCs w:val="28"/>
        </w:rPr>
        <w:t xml:space="preserve">que seja incluído no Programa Moeda Social de Macaé, denominada “Macaíba”, o benefício </w:t>
      </w:r>
      <w:r w:rsidR="002A3F62">
        <w:rPr>
          <w:rFonts w:ascii="Calibri" w:eastAsia="Calibri" w:hAnsi="Calibri" w:cs="Calibri"/>
          <w:color w:val="212529"/>
          <w:sz w:val="28"/>
          <w:szCs w:val="28"/>
        </w:rPr>
        <w:t>à</w:t>
      </w:r>
      <w:r w:rsidR="00B92F6D">
        <w:rPr>
          <w:rFonts w:ascii="Calibri" w:eastAsia="Calibri" w:hAnsi="Calibri" w:cs="Calibri"/>
          <w:color w:val="212529"/>
          <w:sz w:val="28"/>
          <w:szCs w:val="28"/>
        </w:rPr>
        <w:t xml:space="preserve"> idosos e deficientes que recebem BPC (Benefício de Prestação Continuada)</w:t>
      </w:r>
      <w:r w:rsidR="00C13A65">
        <w:rPr>
          <w:rFonts w:ascii="Calibri" w:hAnsi="Calibri"/>
          <w:sz w:val="28"/>
          <w:szCs w:val="28"/>
        </w:rPr>
        <w:t>.</w:t>
      </w:r>
    </w:p>
    <w:p w14:paraId="211A849B" w14:textId="115DE3E3" w:rsidR="004A3064" w:rsidRDefault="004A3064" w:rsidP="006F77B0">
      <w:pPr>
        <w:jc w:val="both"/>
        <w:rPr>
          <w:rFonts w:ascii="Calibri" w:hAnsi="Calibri"/>
          <w:sz w:val="28"/>
          <w:szCs w:val="28"/>
        </w:rPr>
      </w:pPr>
    </w:p>
    <w:p w14:paraId="7AD2C9B2" w14:textId="77777777" w:rsidR="00C13A65" w:rsidRPr="00C13A65" w:rsidRDefault="00C13A65" w:rsidP="00C13A65">
      <w:pPr>
        <w:pStyle w:val="NormalWeb"/>
        <w:rPr>
          <w:rFonts w:ascii="Calibri" w:hAnsi="Calibri"/>
          <w:sz w:val="28"/>
          <w:szCs w:val="28"/>
        </w:rPr>
      </w:pPr>
      <w:r w:rsidRPr="00C13A65">
        <w:rPr>
          <w:rStyle w:val="Forte"/>
          <w:rFonts w:ascii="Calibri" w:hAnsi="Calibri"/>
          <w:sz w:val="28"/>
          <w:szCs w:val="28"/>
        </w:rPr>
        <w:t>Justificativa</w:t>
      </w:r>
    </w:p>
    <w:p w14:paraId="05B87015" w14:textId="77777777" w:rsidR="002A3F62" w:rsidRPr="002A3F62" w:rsidRDefault="002A3F62" w:rsidP="002A3F62">
      <w:pPr>
        <w:pStyle w:val="NormalWeb"/>
        <w:jc w:val="both"/>
        <w:rPr>
          <w:rFonts w:ascii="Calibri" w:hAnsi="Calibri"/>
          <w:sz w:val="28"/>
          <w:szCs w:val="28"/>
        </w:rPr>
      </w:pPr>
      <w:r w:rsidRPr="002A3F62">
        <w:rPr>
          <w:rFonts w:ascii="Calibri" w:hAnsi="Calibri"/>
          <w:sz w:val="28"/>
          <w:szCs w:val="28"/>
        </w:rPr>
        <w:t>O Programa Municipal de Moeda Social “Macaíba” representa uma importante ferramenta de inclusão socioeconômica, ao promover o fortalecimento da economia local e garantir apoio direto às famílias em situação de vulnerabilidade. A ampliação do público beneficiário para incluir idosos e pessoas com deficiência que recebem o Benefício de Prestação Continuada (BPC) é uma medida de justiça social e equidade.</w:t>
      </w:r>
    </w:p>
    <w:p w14:paraId="0FB07C72" w14:textId="77777777" w:rsidR="002A3F62" w:rsidRPr="002A3F62" w:rsidRDefault="002A3F62" w:rsidP="002A3F62">
      <w:pPr>
        <w:pStyle w:val="NormalWeb"/>
        <w:jc w:val="both"/>
        <w:rPr>
          <w:rFonts w:ascii="Calibri" w:hAnsi="Calibri"/>
          <w:sz w:val="28"/>
          <w:szCs w:val="28"/>
        </w:rPr>
      </w:pPr>
      <w:r w:rsidRPr="002A3F62">
        <w:rPr>
          <w:rFonts w:ascii="Calibri" w:hAnsi="Calibri"/>
          <w:sz w:val="28"/>
          <w:szCs w:val="28"/>
        </w:rPr>
        <w:t>O BPC é destinado a cidadãos que, mesmo sem contribuição previdenciária, possuem impedimentos para o trabalho e enfrentam condições de pobreza. No entanto, o valor recebido muitas vezes é insuficiente para suprir todas as necessidades básicas, especialmente em contextos de alta inflação e precarização dos serviços. A inclusão desses grupos no programa “Macaíba” permitirá que tenham acesso complementar a bens e serviços essenciais, além de estimular o comércio local por meio da circulação da moeda social.</w:t>
      </w:r>
    </w:p>
    <w:p w14:paraId="00A2D857" w14:textId="77777777" w:rsidR="002A3F62" w:rsidRPr="002A3F62" w:rsidRDefault="002A3F62" w:rsidP="002A3F62">
      <w:pPr>
        <w:pStyle w:val="NormalWeb"/>
        <w:jc w:val="both"/>
        <w:rPr>
          <w:rFonts w:ascii="Calibri" w:hAnsi="Calibri"/>
          <w:sz w:val="28"/>
          <w:szCs w:val="28"/>
        </w:rPr>
      </w:pPr>
      <w:r w:rsidRPr="002A3F62">
        <w:rPr>
          <w:rFonts w:ascii="Calibri" w:hAnsi="Calibri"/>
          <w:sz w:val="28"/>
          <w:szCs w:val="28"/>
        </w:rPr>
        <w:t>Tal iniciativa está alinhada com os princípios constitucionais da dignidade da pessoa humana, da proteção social e da promoção da cidadania plena. Ao ampliar o alcance do programa, o município de Macaé reafirma seu compromisso com políticas públicas inclusivas e com a valorização dos segmentos mais vulneráveis da população.</w:t>
      </w:r>
    </w:p>
    <w:p w14:paraId="02523A8E" w14:textId="3AE7B1CE" w:rsidR="002A3F62" w:rsidRPr="002A3F62" w:rsidRDefault="002A3F62" w:rsidP="002A3F62">
      <w:pPr>
        <w:pStyle w:val="NormalWeb"/>
        <w:jc w:val="both"/>
        <w:rPr>
          <w:rFonts w:ascii="Calibri" w:hAnsi="Calibri"/>
          <w:sz w:val="28"/>
          <w:szCs w:val="28"/>
        </w:rPr>
      </w:pPr>
      <w:r w:rsidRPr="002A3F62">
        <w:rPr>
          <w:rFonts w:ascii="Calibri" w:hAnsi="Calibri"/>
          <w:sz w:val="28"/>
          <w:szCs w:val="28"/>
        </w:rPr>
        <w:lastRenderedPageBreak/>
        <w:t>Diante disso, esta indicação visa sensibilizar o Poder Executivo Municipal para que, por meio da Secretaria</w:t>
      </w:r>
      <w:r w:rsidR="00380D53">
        <w:rPr>
          <w:rFonts w:ascii="Calibri" w:hAnsi="Calibri"/>
          <w:sz w:val="28"/>
          <w:szCs w:val="28"/>
        </w:rPr>
        <w:t xml:space="preserve"> responsável</w:t>
      </w:r>
      <w:r w:rsidRPr="002A3F62">
        <w:rPr>
          <w:rFonts w:ascii="Calibri" w:hAnsi="Calibri"/>
          <w:sz w:val="28"/>
          <w:szCs w:val="28"/>
        </w:rPr>
        <w:t xml:space="preserve">, </w:t>
      </w:r>
      <w:r w:rsidR="002C0856">
        <w:rPr>
          <w:rFonts w:ascii="Calibri" w:hAnsi="Calibri"/>
          <w:sz w:val="28"/>
          <w:szCs w:val="28"/>
        </w:rPr>
        <w:t xml:space="preserve">que </w:t>
      </w:r>
      <w:r w:rsidRPr="002A3F62">
        <w:rPr>
          <w:rFonts w:ascii="Calibri" w:hAnsi="Calibri"/>
          <w:sz w:val="28"/>
          <w:szCs w:val="28"/>
        </w:rPr>
        <w:t>avalie a viabilidade técnica e orçamentária da proposta e promova os ajustes necessários para contemplar os beneficiários do BPC</w:t>
      </w:r>
      <w:r w:rsidR="002C0856">
        <w:rPr>
          <w:rFonts w:ascii="Calibri" w:hAnsi="Calibri"/>
          <w:sz w:val="28"/>
          <w:szCs w:val="28"/>
        </w:rPr>
        <w:t xml:space="preserve"> idoso e BPC deficiente</w:t>
      </w:r>
      <w:r w:rsidRPr="002A3F62">
        <w:rPr>
          <w:rFonts w:ascii="Calibri" w:hAnsi="Calibri"/>
          <w:sz w:val="28"/>
          <w:szCs w:val="28"/>
        </w:rPr>
        <w:t xml:space="preserve"> no Programa Macaíba.</w:t>
      </w:r>
    </w:p>
    <w:p w14:paraId="61E86FB2" w14:textId="2D11E27F" w:rsidR="00520A67" w:rsidRDefault="00520A67" w:rsidP="00520A67">
      <w:pPr>
        <w:pStyle w:val="Normal1"/>
        <w:pBdr>
          <w:right w:val="none" w:sz="4" w:space="5" w:color="000000"/>
        </w:pBdr>
        <w:jc w:val="center"/>
        <w:rPr>
          <w:b/>
          <w:sz w:val="24"/>
          <w:szCs w:val="24"/>
        </w:rPr>
      </w:pPr>
    </w:p>
    <w:p w14:paraId="222AEC05" w14:textId="63AD3309" w:rsidR="00520A67" w:rsidRDefault="00520A67" w:rsidP="00520A67">
      <w:pPr>
        <w:pStyle w:val="Normal1"/>
        <w:pBdr>
          <w:right w:val="none" w:sz="4" w:space="5" w:color="000000"/>
        </w:pBdr>
        <w:jc w:val="center"/>
        <w:rPr>
          <w:b/>
          <w:sz w:val="24"/>
          <w:szCs w:val="24"/>
        </w:rPr>
      </w:pPr>
    </w:p>
    <w:p w14:paraId="068BDB75" w14:textId="3E6EBC4B" w:rsidR="00520A67" w:rsidRDefault="00520A67" w:rsidP="00520A67">
      <w:pPr>
        <w:pStyle w:val="Normal1"/>
        <w:pBdr>
          <w:right w:val="none" w:sz="4" w:space="5" w:color="000000"/>
        </w:pBdr>
        <w:jc w:val="center"/>
        <w:rPr>
          <w:b/>
          <w:sz w:val="24"/>
          <w:szCs w:val="24"/>
        </w:rPr>
      </w:pPr>
    </w:p>
    <w:p w14:paraId="393A6A34" w14:textId="11092862" w:rsidR="00520A67" w:rsidRDefault="00520A67" w:rsidP="00520A67">
      <w:pPr>
        <w:pStyle w:val="Normal1"/>
        <w:pBdr>
          <w:right w:val="none" w:sz="4" w:space="5" w:color="000000"/>
        </w:pBdr>
        <w:jc w:val="center"/>
        <w:rPr>
          <w:b/>
          <w:sz w:val="24"/>
          <w:szCs w:val="24"/>
        </w:rPr>
      </w:pPr>
    </w:p>
    <w:p w14:paraId="275EE2C3" w14:textId="77777777" w:rsidR="00520A67" w:rsidRDefault="00520A67" w:rsidP="00520A67">
      <w:pPr>
        <w:pStyle w:val="Normal1"/>
        <w:pBdr>
          <w:right w:val="none" w:sz="4" w:space="5" w:color="000000"/>
        </w:pBdr>
        <w:jc w:val="center"/>
        <w:rPr>
          <w:b/>
          <w:sz w:val="24"/>
          <w:szCs w:val="24"/>
        </w:rPr>
      </w:pPr>
    </w:p>
    <w:p w14:paraId="00688D46" w14:textId="11E367E6" w:rsidR="00831006" w:rsidRDefault="00E47372" w:rsidP="00520A67">
      <w:pPr>
        <w:pStyle w:val="Normal1"/>
        <w:pBdr>
          <w:right w:val="none" w:sz="4" w:space="5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520A67">
        <w:rPr>
          <w:b/>
          <w:sz w:val="24"/>
          <w:szCs w:val="24"/>
        </w:rPr>
        <w:t>07</w:t>
      </w:r>
      <w:r>
        <w:rPr>
          <w:b/>
          <w:sz w:val="24"/>
          <w:szCs w:val="24"/>
        </w:rPr>
        <w:t xml:space="preserve"> de </w:t>
      </w:r>
      <w:r w:rsidR="00520A67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de 2025.</w:t>
      </w:r>
    </w:p>
    <w:p w14:paraId="460054DA" w14:textId="77777777" w:rsidR="00831006" w:rsidRDefault="00831006" w:rsidP="00520A67">
      <w:pPr>
        <w:pStyle w:val="Normal1"/>
        <w:pBdr>
          <w:right w:val="none" w:sz="4" w:space="5" w:color="000000"/>
        </w:pBdr>
        <w:rPr>
          <w:b/>
        </w:rPr>
      </w:pPr>
    </w:p>
    <w:p w14:paraId="15C3FF4C" w14:textId="619F258E" w:rsidR="00831006" w:rsidRDefault="00831006" w:rsidP="00520A67">
      <w:pPr>
        <w:pStyle w:val="Normal1"/>
        <w:pBdr>
          <w:right w:val="none" w:sz="4" w:space="5" w:color="000000"/>
        </w:pBdr>
        <w:rPr>
          <w:b/>
          <w:sz w:val="24"/>
          <w:szCs w:val="24"/>
        </w:rPr>
      </w:pPr>
    </w:p>
    <w:p w14:paraId="3170B485" w14:textId="52BA3E87" w:rsidR="00DB7BAF" w:rsidRDefault="00DB7BAF" w:rsidP="00520A67">
      <w:pPr>
        <w:pStyle w:val="Normal1"/>
        <w:pBdr>
          <w:right w:val="none" w:sz="4" w:space="5" w:color="000000"/>
        </w:pBdr>
        <w:rPr>
          <w:b/>
          <w:sz w:val="24"/>
          <w:szCs w:val="24"/>
        </w:rPr>
      </w:pPr>
    </w:p>
    <w:p w14:paraId="4DFD9FE7" w14:textId="77777777" w:rsidR="00C13A65" w:rsidRDefault="00C13A65" w:rsidP="00520A67">
      <w:pPr>
        <w:pStyle w:val="Normal1"/>
        <w:pBdr>
          <w:right w:val="none" w:sz="4" w:space="5" w:color="000000"/>
        </w:pBdr>
        <w:rPr>
          <w:b/>
          <w:sz w:val="24"/>
          <w:szCs w:val="24"/>
        </w:rPr>
      </w:pPr>
    </w:p>
    <w:p w14:paraId="1B25CF24" w14:textId="77777777" w:rsidR="00831006" w:rsidRDefault="00831006" w:rsidP="00520A67">
      <w:pPr>
        <w:pStyle w:val="Normal1"/>
        <w:pBdr>
          <w:right w:val="none" w:sz="4" w:space="5" w:color="000000"/>
        </w:pBdr>
        <w:rPr>
          <w:b/>
          <w:sz w:val="24"/>
          <w:szCs w:val="24"/>
        </w:rPr>
      </w:pPr>
    </w:p>
    <w:p w14:paraId="14886B54" w14:textId="77777777" w:rsidR="00831006" w:rsidRDefault="00E47372" w:rsidP="00520A67">
      <w:pPr>
        <w:pStyle w:val="Normal1"/>
        <w:pBdr>
          <w:right w:val="none" w:sz="4" w:space="5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508A216C" w14:textId="77777777" w:rsidR="00831006" w:rsidRDefault="00E47372" w:rsidP="00520A67">
      <w:pPr>
        <w:pStyle w:val="Normal1"/>
        <w:pBdr>
          <w:right w:val="none" w:sz="4" w:space="5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Vereadora– Autora</w:t>
      </w:r>
    </w:p>
    <w:p w14:paraId="5E311701" w14:textId="77777777" w:rsidR="00831006" w:rsidRDefault="00831006" w:rsidP="00520A67">
      <w:pPr>
        <w:pStyle w:val="Normal1"/>
        <w:pBdr>
          <w:right w:val="none" w:sz="4" w:space="5" w:color="000000"/>
        </w:pBdr>
        <w:jc w:val="center"/>
        <w:rPr>
          <w:b/>
          <w:sz w:val="24"/>
          <w:szCs w:val="24"/>
        </w:rPr>
      </w:pPr>
    </w:p>
    <w:p w14:paraId="1C4C7B59" w14:textId="77777777" w:rsidR="00831006" w:rsidRDefault="00831006" w:rsidP="00520A67">
      <w:pPr>
        <w:pStyle w:val="Normal1"/>
        <w:pBdr>
          <w:right w:val="none" w:sz="4" w:space="5" w:color="000000"/>
        </w:pBdr>
        <w:rPr>
          <w:b/>
          <w:sz w:val="10"/>
          <w:szCs w:val="10"/>
        </w:rPr>
      </w:pPr>
    </w:p>
    <w:p w14:paraId="0DC15D43" w14:textId="77777777" w:rsidR="00DB7BAF" w:rsidRDefault="00DB7BAF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18"/>
          <w:szCs w:val="18"/>
        </w:rPr>
      </w:pPr>
    </w:p>
    <w:p w14:paraId="4567C10B" w14:textId="77777777" w:rsidR="00DB7BAF" w:rsidRDefault="00DB7BAF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18"/>
          <w:szCs w:val="18"/>
        </w:rPr>
      </w:pPr>
    </w:p>
    <w:p w14:paraId="2E9D3FA3" w14:textId="6402B991" w:rsidR="00DB7BAF" w:rsidRDefault="00DB7BAF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18"/>
          <w:szCs w:val="18"/>
        </w:rPr>
      </w:pPr>
    </w:p>
    <w:p w14:paraId="5795D042" w14:textId="296352FD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18"/>
          <w:szCs w:val="18"/>
        </w:rPr>
      </w:pPr>
    </w:p>
    <w:p w14:paraId="627373AC" w14:textId="02297D6E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18"/>
          <w:szCs w:val="18"/>
        </w:rPr>
      </w:pPr>
    </w:p>
    <w:p w14:paraId="140E9B09" w14:textId="0F5E589A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18"/>
          <w:szCs w:val="18"/>
        </w:rPr>
      </w:pPr>
    </w:p>
    <w:p w14:paraId="3179C57E" w14:textId="279A396F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18"/>
          <w:szCs w:val="18"/>
        </w:rPr>
      </w:pPr>
    </w:p>
    <w:p w14:paraId="629A15D0" w14:textId="4C43B922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18"/>
          <w:szCs w:val="18"/>
        </w:rPr>
      </w:pPr>
    </w:p>
    <w:p w14:paraId="7D466BE5" w14:textId="11A61B7E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18"/>
          <w:szCs w:val="18"/>
        </w:rPr>
      </w:pPr>
    </w:p>
    <w:p w14:paraId="48E8FFCC" w14:textId="12717448" w:rsidR="00831006" w:rsidRDefault="00E47372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</w:t>
      </w:r>
    </w:p>
    <w:p w14:paraId="2DAA0A9B" w14:textId="627E0E57" w:rsidR="00831006" w:rsidRDefault="00831006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18F8FDDE" w14:textId="232FF475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01C1F8EF" w14:textId="0977A6CB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4E46758A" w14:textId="00181E06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384469C7" w14:textId="339AC778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53E31558" w14:textId="49B6A723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7F36BF34" w14:textId="725237C2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5731EFB5" w14:textId="31C5D1B0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0D0A2C1A" w14:textId="5A4A88C8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786E485B" w14:textId="39DAB3E2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1633C370" w14:textId="5ADD6D76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7BBD3688" w14:textId="24E20A7A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0EB8A298" w14:textId="5C426481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7A16870C" w14:textId="4D47BD90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54400DDC" w14:textId="77777777" w:rsidR="00520A67" w:rsidRDefault="00520A67" w:rsidP="00520A67">
      <w:pPr>
        <w:pStyle w:val="Normal1"/>
        <w:pBdr>
          <w:right w:val="none" w:sz="4" w:space="5" w:color="000000"/>
        </w:pBdr>
        <w:spacing w:line="360" w:lineRule="auto"/>
        <w:jc w:val="center"/>
        <w:rPr>
          <w:b/>
          <w:sz w:val="6"/>
          <w:szCs w:val="6"/>
        </w:rPr>
      </w:pPr>
    </w:p>
    <w:p w14:paraId="27BCB303" w14:textId="36EBA4C1" w:rsidR="00831006" w:rsidRDefault="00E47372" w:rsidP="00520A67">
      <w:pPr>
        <w:pStyle w:val="Normal1"/>
        <w:pBdr>
          <w:right w:val="none" w:sz="4" w:space="5" w:color="000000"/>
        </w:pBdr>
        <w:jc w:val="center"/>
        <w:rPr>
          <w:b/>
          <w:sz w:val="18"/>
          <w:szCs w:val="18"/>
        </w:rPr>
      </w:pPr>
      <w:r w:rsidRPr="00DB7BAF">
        <w:rPr>
          <w:b/>
        </w:rPr>
        <w:t>Destinatário:   A Diretoria de assuntos legislativos Câmara Municipal de Macaé</w:t>
      </w:r>
      <w:r>
        <w:rPr>
          <w:b/>
          <w:sz w:val="18"/>
          <w:szCs w:val="18"/>
        </w:rPr>
        <w:t xml:space="preserve">                                                                     </w:t>
      </w:r>
    </w:p>
    <w:sectPr w:rsidR="00831006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17E2" w14:textId="77777777" w:rsidR="00831006" w:rsidRDefault="00E47372">
      <w:r>
        <w:separator/>
      </w:r>
    </w:p>
  </w:endnote>
  <w:endnote w:type="continuationSeparator" w:id="0">
    <w:p w14:paraId="6FB9F5CE" w14:textId="77777777" w:rsidR="00831006" w:rsidRDefault="00E4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8C4B" w14:textId="77777777" w:rsidR="00831006" w:rsidRDefault="00E47372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27F4F52F" w14:textId="77777777" w:rsidR="00831006" w:rsidRDefault="00E47372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>Avenida Antônio Abreu, 1805. Fazenda Blanchete - Horto - Macaé - RJ. 27.947-570</w:t>
    </w:r>
  </w:p>
  <w:p w14:paraId="7B6EE10A" w14:textId="77777777" w:rsidR="00831006" w:rsidRDefault="00E4737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29E9115C" w14:textId="77777777" w:rsidR="00DB7BAF" w:rsidRPr="00DB7BAF" w:rsidRDefault="00E47372" w:rsidP="00DB7BAF">
    <w:pPr>
      <w:jc w:val="center"/>
      <w:rPr>
        <w:rFonts w:ascii="Calibri" w:hAnsi="Calibri"/>
        <w:bCs/>
      </w:rPr>
    </w:pPr>
    <w:r>
      <w:rPr>
        <w:rFonts w:ascii="Verdana" w:hAnsi="Verdana"/>
        <w:sz w:val="16"/>
        <w:szCs w:val="16"/>
      </w:rPr>
      <w:t xml:space="preserve">E-mail: </w:t>
    </w:r>
    <w:r w:rsidR="00DB7BAF" w:rsidRPr="00DB7BAF">
      <w:rPr>
        <w:bCs/>
        <w:sz w:val="20"/>
        <w:szCs w:val="20"/>
      </w:rPr>
      <w:t>secretaria@cmmacae.rj</w:t>
    </w:r>
  </w:p>
  <w:p w14:paraId="67BC3C15" w14:textId="6D4BB5CF" w:rsidR="00831006" w:rsidRDefault="00831006">
    <w:pPr>
      <w:pStyle w:val="Cabealho"/>
      <w:jc w:val="center"/>
      <w:rPr>
        <w:rFonts w:ascii="Verdana" w:hAnsi="Verdana"/>
        <w:sz w:val="16"/>
        <w:szCs w:val="16"/>
      </w:rPr>
    </w:pPr>
  </w:p>
  <w:p w14:paraId="3B59F0C8" w14:textId="77777777" w:rsidR="00831006" w:rsidRDefault="00831006">
    <w:pPr>
      <w:pStyle w:val="Rodap"/>
    </w:pPr>
  </w:p>
  <w:p w14:paraId="04770BDE" w14:textId="77777777" w:rsidR="00831006" w:rsidRDefault="00831006">
    <w:pPr>
      <w:pStyle w:val="Rodap"/>
    </w:pPr>
  </w:p>
  <w:p w14:paraId="660EE3A4" w14:textId="77777777" w:rsidR="00831006" w:rsidRDefault="00831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5BF0" w14:textId="77777777" w:rsidR="00831006" w:rsidRDefault="00E47372">
      <w:r>
        <w:separator/>
      </w:r>
    </w:p>
  </w:footnote>
  <w:footnote w:type="continuationSeparator" w:id="0">
    <w:p w14:paraId="3DF9288C" w14:textId="77777777" w:rsidR="00831006" w:rsidRDefault="00E4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DE00" w14:textId="77777777" w:rsidR="00831006" w:rsidRDefault="00E47372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5B679A81" wp14:editId="309F33E3">
          <wp:extent cx="590074" cy="538886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Imagem Brasão Macaé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074" cy="538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C87713" w14:textId="77777777" w:rsidR="00831006" w:rsidRDefault="00E4737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368CDBE9" w14:textId="77777777" w:rsidR="00831006" w:rsidRDefault="00E4737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54DD4279" w14:textId="77777777" w:rsidR="00831006" w:rsidRDefault="00E4737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474C0B13" w14:textId="77777777" w:rsidR="00831006" w:rsidRDefault="00E4737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4B51C00D" w14:textId="77777777" w:rsidR="00831006" w:rsidRDefault="00831006">
    <w:pPr>
      <w:pStyle w:val="Cabealho"/>
      <w:jc w:val="center"/>
      <w:rPr>
        <w:rFonts w:ascii="Verdana" w:hAnsi="Verdana"/>
        <w:sz w:val="16"/>
        <w:szCs w:val="16"/>
      </w:rPr>
    </w:pPr>
  </w:p>
  <w:p w14:paraId="1A419EFF" w14:textId="77777777" w:rsidR="00831006" w:rsidRDefault="00831006">
    <w:pPr>
      <w:pStyle w:val="Cabealho"/>
    </w:pPr>
  </w:p>
  <w:p w14:paraId="627D622B" w14:textId="77777777" w:rsidR="00831006" w:rsidRDefault="00831006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413"/>
    <w:multiLevelType w:val="multilevel"/>
    <w:tmpl w:val="32787F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B0C"/>
    <w:multiLevelType w:val="multilevel"/>
    <w:tmpl w:val="F9921E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8310223"/>
    <w:multiLevelType w:val="multilevel"/>
    <w:tmpl w:val="34BA4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4CA"/>
    <w:multiLevelType w:val="multilevel"/>
    <w:tmpl w:val="591CFA2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D727F64"/>
    <w:multiLevelType w:val="multilevel"/>
    <w:tmpl w:val="FB324C8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0FF721EE"/>
    <w:multiLevelType w:val="hybridMultilevel"/>
    <w:tmpl w:val="B068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2746"/>
    <w:multiLevelType w:val="multilevel"/>
    <w:tmpl w:val="DC3EE508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92C6D8B"/>
    <w:multiLevelType w:val="hybridMultilevel"/>
    <w:tmpl w:val="980ED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7442D"/>
    <w:multiLevelType w:val="multilevel"/>
    <w:tmpl w:val="7A6E31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E6670"/>
    <w:multiLevelType w:val="multilevel"/>
    <w:tmpl w:val="3EBE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13FF1"/>
    <w:multiLevelType w:val="multilevel"/>
    <w:tmpl w:val="9E0A5CD0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1" w15:restartNumberingAfterBreak="0">
    <w:nsid w:val="214A5840"/>
    <w:multiLevelType w:val="multilevel"/>
    <w:tmpl w:val="B3B22C9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2C17760"/>
    <w:multiLevelType w:val="multilevel"/>
    <w:tmpl w:val="D674A730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3530D"/>
    <w:multiLevelType w:val="hybridMultilevel"/>
    <w:tmpl w:val="ADC05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92BE8"/>
    <w:multiLevelType w:val="multilevel"/>
    <w:tmpl w:val="58BCBEF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39814A67"/>
    <w:multiLevelType w:val="multilevel"/>
    <w:tmpl w:val="44E8F5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11B9"/>
    <w:multiLevelType w:val="multilevel"/>
    <w:tmpl w:val="1C4E269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7" w15:restartNumberingAfterBreak="0">
    <w:nsid w:val="404C551C"/>
    <w:multiLevelType w:val="multilevel"/>
    <w:tmpl w:val="9A7AA3FE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43AE301B"/>
    <w:multiLevelType w:val="multilevel"/>
    <w:tmpl w:val="4DC2922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47AB23BF"/>
    <w:multiLevelType w:val="multilevel"/>
    <w:tmpl w:val="0B54DA5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5A552D24"/>
    <w:multiLevelType w:val="multilevel"/>
    <w:tmpl w:val="EE1EB2BE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60B01C2D"/>
    <w:multiLevelType w:val="multilevel"/>
    <w:tmpl w:val="4FA00BDC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86826AC"/>
    <w:multiLevelType w:val="multilevel"/>
    <w:tmpl w:val="BB48577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3" w15:restartNumberingAfterBreak="0">
    <w:nsid w:val="690664AE"/>
    <w:multiLevelType w:val="multilevel"/>
    <w:tmpl w:val="8D4659CE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4" w15:restartNumberingAfterBreak="0">
    <w:nsid w:val="6BD212C0"/>
    <w:multiLevelType w:val="multilevel"/>
    <w:tmpl w:val="10EC72D6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5" w15:restartNumberingAfterBreak="0">
    <w:nsid w:val="74E82D06"/>
    <w:multiLevelType w:val="multilevel"/>
    <w:tmpl w:val="E340D5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F468A"/>
    <w:multiLevelType w:val="multilevel"/>
    <w:tmpl w:val="A17A77A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7" w15:restartNumberingAfterBreak="0">
    <w:nsid w:val="78EF3C1B"/>
    <w:multiLevelType w:val="multilevel"/>
    <w:tmpl w:val="2C16B3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A210B"/>
    <w:multiLevelType w:val="multilevel"/>
    <w:tmpl w:val="C8FE687A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9" w15:restartNumberingAfterBreak="0">
    <w:nsid w:val="7B704719"/>
    <w:multiLevelType w:val="multilevel"/>
    <w:tmpl w:val="B6845DC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96273391">
    <w:abstractNumId w:val="1"/>
  </w:num>
  <w:num w:numId="2" w16cid:durableId="1593513181">
    <w:abstractNumId w:val="14"/>
  </w:num>
  <w:num w:numId="3" w16cid:durableId="952522323">
    <w:abstractNumId w:val="11"/>
  </w:num>
  <w:num w:numId="4" w16cid:durableId="1931158147">
    <w:abstractNumId w:val="26"/>
  </w:num>
  <w:num w:numId="5" w16cid:durableId="1673334083">
    <w:abstractNumId w:val="22"/>
  </w:num>
  <w:num w:numId="6" w16cid:durableId="192773402">
    <w:abstractNumId w:val="19"/>
  </w:num>
  <w:num w:numId="7" w16cid:durableId="244456251">
    <w:abstractNumId w:val="10"/>
  </w:num>
  <w:num w:numId="8" w16cid:durableId="132259608">
    <w:abstractNumId w:val="3"/>
  </w:num>
  <w:num w:numId="9" w16cid:durableId="1149901192">
    <w:abstractNumId w:val="17"/>
  </w:num>
  <w:num w:numId="10" w16cid:durableId="632716123">
    <w:abstractNumId w:val="18"/>
  </w:num>
  <w:num w:numId="11" w16cid:durableId="782117255">
    <w:abstractNumId w:val="28"/>
  </w:num>
  <w:num w:numId="12" w16cid:durableId="734400570">
    <w:abstractNumId w:val="23"/>
  </w:num>
  <w:num w:numId="13" w16cid:durableId="185099249">
    <w:abstractNumId w:val="29"/>
  </w:num>
  <w:num w:numId="14" w16cid:durableId="1323776782">
    <w:abstractNumId w:val="24"/>
  </w:num>
  <w:num w:numId="15" w16cid:durableId="1887449431">
    <w:abstractNumId w:val="4"/>
  </w:num>
  <w:num w:numId="16" w16cid:durableId="1243443410">
    <w:abstractNumId w:val="16"/>
  </w:num>
  <w:num w:numId="17" w16cid:durableId="377634273">
    <w:abstractNumId w:val="20"/>
  </w:num>
  <w:num w:numId="18" w16cid:durableId="1041982857">
    <w:abstractNumId w:val="8"/>
  </w:num>
  <w:num w:numId="19" w16cid:durableId="6404993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89879">
    <w:abstractNumId w:val="0"/>
  </w:num>
  <w:num w:numId="21" w16cid:durableId="2140563004">
    <w:abstractNumId w:val="15"/>
  </w:num>
  <w:num w:numId="22" w16cid:durableId="99758884">
    <w:abstractNumId w:val="27"/>
  </w:num>
  <w:num w:numId="23" w16cid:durableId="372313498">
    <w:abstractNumId w:val="2"/>
  </w:num>
  <w:num w:numId="24" w16cid:durableId="583730341">
    <w:abstractNumId w:val="6"/>
  </w:num>
  <w:num w:numId="25" w16cid:durableId="699823183">
    <w:abstractNumId w:val="25"/>
  </w:num>
  <w:num w:numId="26" w16cid:durableId="1726562591">
    <w:abstractNumId w:val="21"/>
  </w:num>
  <w:num w:numId="27" w16cid:durableId="426075823">
    <w:abstractNumId w:val="9"/>
  </w:num>
  <w:num w:numId="28" w16cid:durableId="1342318737">
    <w:abstractNumId w:val="5"/>
  </w:num>
  <w:num w:numId="29" w16cid:durableId="619705">
    <w:abstractNumId w:val="13"/>
  </w:num>
  <w:num w:numId="30" w16cid:durableId="536091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6"/>
    <w:rsid w:val="002A3F62"/>
    <w:rsid w:val="002C0856"/>
    <w:rsid w:val="00324F8B"/>
    <w:rsid w:val="00380D53"/>
    <w:rsid w:val="003F602C"/>
    <w:rsid w:val="004A3064"/>
    <w:rsid w:val="004A527D"/>
    <w:rsid w:val="00520A67"/>
    <w:rsid w:val="00600F08"/>
    <w:rsid w:val="00633BC7"/>
    <w:rsid w:val="006F77B0"/>
    <w:rsid w:val="007972E1"/>
    <w:rsid w:val="007C124A"/>
    <w:rsid w:val="00831006"/>
    <w:rsid w:val="008D4830"/>
    <w:rsid w:val="009A4ADD"/>
    <w:rsid w:val="009E76AC"/>
    <w:rsid w:val="00B92F6D"/>
    <w:rsid w:val="00C13A65"/>
    <w:rsid w:val="00D8751E"/>
    <w:rsid w:val="00DB7BAF"/>
    <w:rsid w:val="00E15089"/>
    <w:rsid w:val="00E47372"/>
    <w:rsid w:val="00ED31B3"/>
    <w:rsid w:val="00F1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0237"/>
  <w15:docId w15:val="{4766E96F-7249-4AD2-B273-037C599E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Isabela Pereira da Silva Catharino</cp:lastModifiedBy>
  <cp:revision>3</cp:revision>
  <cp:lastPrinted>2025-10-07T18:02:00Z</cp:lastPrinted>
  <dcterms:created xsi:type="dcterms:W3CDTF">2025-10-07T18:32:00Z</dcterms:created>
  <dcterms:modified xsi:type="dcterms:W3CDTF">2025-10-07T18:34:00Z</dcterms:modified>
  <cp:version>983040</cp:version>
</cp:coreProperties>
</file>