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através do órgão competente da Administração Pública, </w:t>
      </w:r>
      <w:r>
        <w:rPr>
          <w:rFonts w:ascii="Calibri" w:hAnsi="Calibri" w:cs="Calibri" w:eastAsia="Calibri"/>
        </w:rPr>
        <w:t xml:space="preserve">que seja dada atenção especial ao programa de inseminação artificial do gado leiteiro, com foco na ampliação e fortalecimento das ações voltadas à região serrana de Macaé.</w:t>
      </w: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  <w:highlight w:val="none"/>
        </w:rPr>
        <w:t xml:space="preserve">Justificativa</w:t>
      </w:r>
      <w:r>
        <w:rPr>
          <w:rFonts w:ascii="Calibri" w:hAnsi="Calibri" w:cs="Calibri" w:eastAsia="Calibri"/>
          <w:sz w:val="24"/>
          <w:szCs w:val="24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spacing w:line="240" w:lineRule="auto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  <w:highlight w:val="none"/>
        </w:rPr>
      </w:r>
      <w:r>
        <w:rPr>
          <w:rFonts w:ascii="Calibri" w:hAnsi="Calibri" w:cs="Calibri" w:eastAsia="Calibri"/>
          <w:sz w:val="24"/>
          <w:szCs w:val="24"/>
          <w:highlight w:val="none"/>
        </w:rPr>
      </w:r>
    </w:p>
    <w:p>
      <w:pPr>
        <w:pStyle w:val="983"/>
        <w:jc w:val="both"/>
        <w:spacing w:line="24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  <w:t xml:space="preserve">A pecuária leiteira é uma atividade fundamental para a economia rural da região serrana de Macaé. Investir na inseminação artificial contribui para o melhoramento genético do rebanho, aumento da produtividade e fortalecimento da agricultura familiar. A amp</w:t>
      </w:r>
      <w:r>
        <w:rPr>
          <w:rFonts w:ascii="Calibri" w:hAnsi="Calibri" w:cs="Calibri" w:eastAsia="Calibri"/>
        </w:rPr>
        <w:t xml:space="preserve">liação desse programa garante maior suporte técnico aos produtores, estimulando o desenvolvimento sustentável e gerando renda para as comunidades rurais.</w:t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</w:r>
    </w:p>
    <w:p>
      <w:pPr>
        <w:jc w:val="both"/>
        <w:spacing w:line="24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jc w:val="both"/>
        <w:spacing w:line="24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pStyle w:val="983"/>
        <w:jc w:val="both"/>
        <w:spacing w:line="240" w:lineRule="auto"/>
        <w:rPr>
          <w:rFonts w:ascii="Calibri" w:hAnsi="Calibri" w:cs="Calibri" w:eastAsia="Calibri"/>
          <w:highlight w:val="none"/>
        </w:rP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</w:r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20 de Agosto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35</cp:revision>
  <dcterms:created xsi:type="dcterms:W3CDTF">2021-07-15T22:00:00Z</dcterms:created>
  <dcterms:modified xsi:type="dcterms:W3CDTF">2025-08-20T17:47:35Z</dcterms:modified>
  <cp:version>983040</cp:version>
</cp:coreProperties>
</file>