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1"/>
        <w:pBdr/>
        <w:spacing w:line="300" w:lineRule="auto"/>
        <w:ind/>
        <w:jc w:val="center"/>
        <w:rPr>
          <w:rFonts w:ascii="Calibri" w:hAnsi="Calibri" w:cs="Calibri"/>
          <w:color w:val="1a1a1a" w:themeColor="background1" w:themeShade="1A"/>
          <w:sz w:val="24"/>
          <w:szCs w:val="24"/>
        </w:rPr>
      </w:pPr>
      <w:r>
        <w:rPr>
          <w:rStyle w:val="1032"/>
          <w:rFonts w:ascii="Calibri" w:hAnsi="Calibri" w:eastAsia="Calibri" w:cs="Calibri"/>
          <w:color w:val="1a1a1a" w:themeColor="background1" w:themeShade="1A"/>
          <w:sz w:val="24"/>
          <w:szCs w:val="24"/>
        </w:rPr>
        <w:t xml:space="preserve">PROJETO DE LEI Nº _______/2025</w:t>
      </w:r>
      <w:r>
        <w:rPr>
          <w:rFonts w:ascii="Calibri" w:hAnsi="Calibri" w:cs="Calibri"/>
          <w:color w:val="1a1a1a" w:themeColor="background1" w:themeShade="1A"/>
          <w:sz w:val="24"/>
          <w:szCs w:val="24"/>
        </w:rPr>
      </w:r>
      <w:r>
        <w:rPr>
          <w:rFonts w:ascii="Calibri" w:hAnsi="Calibri" w:cs="Calibri"/>
          <w:color w:val="1a1a1a" w:themeColor="background1" w:themeShade="1A"/>
          <w:sz w:val="24"/>
          <w:szCs w:val="24"/>
        </w:rPr>
      </w:r>
    </w:p>
    <w:p>
      <w:pPr>
        <w:pBdr/>
        <w:spacing w:line="30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line="30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line="300" w:lineRule="auto"/>
        <w:ind w:right="0" w:firstLine="0" w:left="269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DISPÕE SOBRE A CRIAÇÃO DO PROGRAMA DE AVALIAÇÃO CONTINUADA DE EMISSÃO DE FUMAÇA PRETA PELOS VEÍCULOS MOVIDOS A ÓLEO DIESEL PERTENCENTES À FROTA MUNICIPAL DE MACAÉ E ÀQUELES A SERVIÇO DA ADMINISTRAÇÃO PÚBLICA MUNICIPAL, E DÁ OUTRAS PROVIDÊNCIAS.</w: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line="30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33"/>
        <w:pBdr/>
        <w:spacing w:line="300" w:lineRule="auto"/>
        <w:ind/>
        <w:jc w:val="both"/>
        <w:rPr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pPr>
      <w:r>
        <w:rPr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r>
      <w:r>
        <w:rPr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r>
      <w:r>
        <w:rPr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r>
    </w:p>
    <w:p>
      <w:pPr>
        <w:pStyle w:val="1033"/>
        <w:pBdr/>
        <w:spacing w:line="300" w:lineRule="auto"/>
        <w:ind/>
        <w:jc w:val="both"/>
        <w:rPr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pPr>
      <w:r>
        <w:rPr>
          <w:rFonts w:ascii="Calibri" w:hAnsi="Calibri" w:eastAsia="Calibri" w:cs="Calibri"/>
          <w:color w:val="1a1a1a" w:themeColor="background1" w:themeShade="1A"/>
          <w:sz w:val="24"/>
          <w:szCs w:val="24"/>
        </w:rPr>
        <w:t xml:space="preserve">A </w:t>
      </w:r>
      <w:r>
        <w:rPr>
          <w:rFonts w:ascii="Calibri" w:hAnsi="Calibri" w:eastAsia="Calibri" w:cs="Calibri"/>
          <w:b/>
          <w:bCs/>
          <w:color w:val="1a1a1a" w:themeColor="background1" w:themeShade="1A"/>
          <w:sz w:val="24"/>
          <w:szCs w:val="24"/>
        </w:rPr>
        <w:t xml:space="preserve">CÂMARA MUNICIPAL DE MACAÉ</w:t>
      </w:r>
      <w:r>
        <w:rPr>
          <w:rFonts w:ascii="Calibri" w:hAnsi="Calibri" w:eastAsia="Calibri" w:cs="Calibri"/>
          <w:color w:val="1a1a1a" w:themeColor="background1" w:themeShade="1A"/>
          <w:sz w:val="24"/>
          <w:szCs w:val="24"/>
        </w:rPr>
        <w:t xml:space="preserve">, no uso de suas atribuições APROVA:</w:t>
      </w:r>
      <w:r>
        <w:rPr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r>
      <w:r>
        <w:rPr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r>
    </w:p>
    <w:p>
      <w:pPr>
        <w:pStyle w:val="1033"/>
        <w:pBdr/>
        <w:spacing w:line="300" w:lineRule="auto"/>
        <w:ind/>
        <w:jc w:val="both"/>
        <w:rPr>
          <w:rFonts w:ascii="Calibri" w:hAnsi="Calibri" w:eastAsia="Calibri" w:cs="Calibri"/>
          <w:color w:val="1a1a1a" w:themeColor="background1" w:themeShade="1A"/>
          <w:sz w:val="24"/>
          <w:szCs w:val="24"/>
        </w:rPr>
      </w:pPr>
      <w:r>
        <w:rPr>
          <w:rFonts w:ascii="Calibri" w:hAnsi="Calibri" w:eastAsia="Calibri" w:cs="Calibri"/>
          <w:color w:val="1a1a1a" w:themeColor="background1" w:themeShade="1A"/>
          <w:sz w:val="24"/>
          <w:szCs w:val="24"/>
        </w:rPr>
      </w:r>
      <w:r>
        <w:rPr>
          <w:rFonts w:ascii="Calibri" w:hAnsi="Calibri" w:eastAsia="Calibri" w:cs="Calibri"/>
          <w:color w:val="1a1a1a" w:themeColor="background1" w:themeShade="1A"/>
          <w:sz w:val="24"/>
          <w:szCs w:val="24"/>
        </w:rPr>
      </w:r>
      <w:r>
        <w:rPr>
          <w:rFonts w:ascii="Calibri" w:hAnsi="Calibri" w:eastAsia="Calibri" w:cs="Calibri"/>
          <w:color w:val="1a1a1a" w:themeColor="background1" w:themeShade="1A"/>
          <w:sz w:val="24"/>
          <w:szCs w:val="24"/>
        </w:rPr>
      </w:r>
    </w:p>
    <w:p>
      <w:pPr>
        <w:pBdr/>
        <w:spacing w:line="300" w:lineRule="auto"/>
        <w:ind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color w:val="1a1a1a" w:themeColor="background1" w:themeShade="1A"/>
          <w:sz w:val="24"/>
          <w:szCs w:val="24"/>
        </w:rPr>
        <w:t xml:space="preserve">Art. 1º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ica criado o Programa de Avaliação Continuada de Emissão de Fumaça Preta, com o objetivo de fiscalizar e controlar a emissão de poluentes pelos veículos automotores movidos a óleo diesel pertencentes à frota do Município de Macaé e àqueles utilizados por e</w:t>
      </w:r>
      <w:r>
        <w:rPr>
          <w:rFonts w:ascii="Calibri" w:hAnsi="Calibri" w:eastAsia="Calibri" w:cs="Calibri"/>
          <w:sz w:val="24"/>
          <w:szCs w:val="24"/>
        </w:rPr>
        <w:t xml:space="preserve">mpresas que prestem serviços diretos ou indiretos à Administração Pública Municipal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/>
        <w:spacing w:line="30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line="300" w:lineRule="auto"/>
        <w:ind/>
        <w:jc w:val="both"/>
        <w:rPr>
          <w:b/>
          <w:bCs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Art. 2º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O programa visa garantir que os veículos abrangidos atendam aos padrões de emissão estabelecidos pela legislação ambiental vigente, especialmente no que se refere ao nível de opacidade da fumaça preta emitida.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0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line="300" w:lineRule="auto"/>
        <w:ind/>
        <w:jc w:val="both"/>
        <w:rPr>
          <w:b/>
          <w:bCs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Art. 3º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São diretrizes do programa: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00" w:lineRule="auto"/>
        <w:ind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/>
        <w:spacing w:line="300" w:lineRule="auto"/>
        <w:ind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I – realizar inspeções periódicas nos veículos abrangidos, com emissão de relatórios técnicos;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/>
        <w:spacing w:line="300" w:lineRule="auto"/>
        <w:ind/>
        <w:jc w:val="both"/>
        <w:rPr/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II – manter registros atualizados das avaliações realizadas e das medidas corretivas adotadas;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pBdr/>
        <w:spacing w:line="300" w:lineRule="auto"/>
        <w:ind/>
        <w:jc w:val="both"/>
        <w:rPr/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III – exigir, como condição contratual, que empresas prestadoras de serviço ao município mantenham seus veículos em conformidade com os padrões ambientais.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pBdr/>
        <w:spacing w:line="30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line="300" w:lineRule="auto"/>
        <w:ind/>
        <w:jc w:val="both"/>
        <w:rPr>
          <w:b/>
          <w:bCs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Art. 4º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As inspeções poderão ser realizadas: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00" w:lineRule="auto"/>
        <w:ind/>
        <w:jc w:val="both"/>
        <w:rPr/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/>
        <w:spacing w:line="300" w:lineRule="auto"/>
        <w:ind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I – por servidores capacitados integrantes dos órgãos pertinentes do Município;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pBdr/>
        <w:spacing w:line="300" w:lineRule="auto"/>
        <w:ind/>
        <w:jc w:val="both"/>
        <w:rPr/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II – por entidades públicas ou privadas devidamente credenciadas;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pBdr/>
        <w:spacing w:line="300" w:lineRule="auto"/>
        <w:ind/>
        <w:jc w:val="both"/>
        <w:rPr/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III – em datas previamente agendadas ou de forma aleatória, conforme cronograma definido por órgão competente da Administração.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pBdr/>
        <w:spacing w:line="30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line="300" w:lineRule="auto"/>
        <w:ind/>
        <w:jc w:val="both"/>
        <w:rPr>
          <w:rFonts w:ascii="Calibri" w:hAnsi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  <w:t xml:space="preserve">Art. 5º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O não cumprimento das exigências estabelecidas neste Programa poderá acarretar:</w:t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z w:val="24"/>
          <w:szCs w:val="24"/>
          <w:highlight w:val="none"/>
        </w:rPr>
      </w:r>
    </w:p>
    <w:p>
      <w:pPr>
        <w:pBdr/>
        <w:spacing w:line="300" w:lineRule="auto"/>
        <w:ind/>
        <w:jc w:val="both"/>
        <w:rPr/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/>
        <w:spacing w:line="300" w:lineRule="auto"/>
        <w:ind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I – a interdição temporária do veículo até a regularização, com a proibição total de sua circulação;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pBdr/>
        <w:spacing w:line="300" w:lineRule="auto"/>
        <w:ind/>
        <w:jc w:val="both"/>
        <w:rPr/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II – advertência ao responsável;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pBdr/>
        <w:spacing w:line="300" w:lineRule="auto"/>
        <w:ind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III – no caso de prestadores de serviço, a aplicação de multas contratuais, a suspensão ou a rescisão do contrato, conforme previsto em cláusula contratual.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/>
        <w:spacing w:line="30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line="300" w:lineRule="auto"/>
        <w:ind/>
        <w:jc w:val="both"/>
        <w:rPr>
          <w:b/>
          <w:bCs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Art. 6º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A execução deste Programa caberá à Secretaria Municipal de Meio Ambiente, podendo o programa ser implementado em parceria com as Secretarias de Mobilidade Urbana e Administração.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0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line="300" w:lineRule="auto"/>
        <w:ind/>
        <w:jc w:val="both"/>
        <w:rPr>
          <w:b/>
          <w:bCs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Art. 7º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As despesas decorrentes da execução desta Lei correrão por conta das dotações orçamentárias próprias, podendo ser suplementadas, se necessário.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0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/>
        <w:spacing w:line="300" w:lineRule="auto"/>
        <w:ind/>
        <w:jc w:val="both"/>
        <w:rPr>
          <w:b/>
          <w:bCs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Art. 8º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O Poder Executivo regulamentará esta Lei no prazo de 90 (noventa) dias a contar da data de sua publicação.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00" w:lineRule="auto"/>
        <w:ind/>
        <w:jc w:val="both"/>
        <w:rPr/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/>
    </w:p>
    <w:p>
      <w:pPr>
        <w:pBdr/>
        <w:spacing w:line="300" w:lineRule="auto"/>
        <w:ind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Art. 9º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Esta Lei entra em vigor na data de sua publicação.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/>
        <w:spacing w:line="30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31"/>
        <w:pBdr/>
        <w:spacing w:line="360" w:lineRule="auto"/>
        <w:ind/>
        <w:jc w:val="center"/>
        <w:rPr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pPr>
      <w:r>
        <w:rPr>
          <w:rStyle w:val="1032"/>
          <w:rFonts w:ascii="Calibri" w:hAnsi="Calibri" w:eastAsia="Calibri" w:cs="Calibri"/>
          <w:b w:val="0"/>
          <w:bCs w:val="0"/>
          <w:color w:val="1a1a1a" w:themeColor="background1" w:themeShade="1A"/>
          <w:sz w:val="24"/>
          <w:szCs w:val="24"/>
        </w:rPr>
        <w:t xml:space="preserve">Macaé, 05 de junho</w:t>
      </w:r>
      <w:r>
        <w:rPr>
          <w:rStyle w:val="1032"/>
          <w:rFonts w:ascii="Calibri" w:hAnsi="Calibri" w:eastAsia="Calibri" w:cs="Calibri"/>
          <w:b w:val="0"/>
          <w:bCs w:val="0"/>
          <w:color w:val="1a1a1a" w:themeColor="background1" w:themeShade="1A"/>
          <w:sz w:val="24"/>
          <w:szCs w:val="24"/>
        </w:rPr>
        <w:t xml:space="preserve"> de 2025. </w:t>
      </w:r>
      <w:r>
        <w:rPr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r>
      <w:r>
        <w:rPr>
          <w:rFonts w:ascii="Calibri" w:hAnsi="Calibri" w:eastAsia="Calibri" w:cs="Calibri"/>
          <w:color w:val="1a1a1a" w:themeColor="background1" w:themeShade="1A"/>
          <w:sz w:val="24"/>
          <w:szCs w:val="24"/>
          <w:highlight w:val="none"/>
        </w:rPr>
      </w:r>
    </w:p>
    <w:p>
      <w:pPr>
        <w:pStyle w:val="1033"/>
        <w:pBdr/>
        <w:spacing w:line="360" w:lineRule="auto"/>
        <w:ind/>
        <w:jc w:val="center"/>
        <w:rPr>
          <w:rFonts w:ascii="Calibri" w:hAnsi="Calibri" w:cs="Calibri"/>
          <w:color w:val="1a1a1a" w:themeColor="background1" w:themeShade="1A"/>
          <w:sz w:val="24"/>
          <w:szCs w:val="24"/>
        </w:rPr>
      </w:pPr>
      <w:r>
        <w:rPr>
          <w:rFonts w:ascii="Calibri" w:hAnsi="Calibri" w:eastAsia="Calibri" w:cs="Calibri"/>
          <w:color w:val="1a1a1a" w:themeColor="background1" w:themeShade="1A"/>
          <w:sz w:val="24"/>
          <w:szCs w:val="24"/>
        </w:rPr>
      </w:r>
      <w:r>
        <w:rPr>
          <w:rFonts w:ascii="Calibri" w:hAnsi="Calibri" w:cs="Calibri"/>
          <w:color w:val="1a1a1a" w:themeColor="background1" w:themeShade="1A"/>
          <w:sz w:val="24"/>
          <w:szCs w:val="24"/>
        </w:rPr>
      </w:r>
      <w:r>
        <w:rPr>
          <w:rFonts w:ascii="Calibri" w:hAnsi="Calibri" w:cs="Calibri"/>
          <w:color w:val="1a1a1a" w:themeColor="background1" w:themeShade="1A"/>
          <w:sz w:val="24"/>
          <w:szCs w:val="24"/>
        </w:rPr>
      </w:r>
    </w:p>
    <w:p>
      <w:pPr>
        <w:pStyle w:val="1031"/>
        <w:pBdr/>
        <w:spacing w:line="360" w:lineRule="auto"/>
        <w:ind/>
        <w:jc w:val="center"/>
        <w:rPr>
          <w:rFonts w:ascii="Calibri" w:hAnsi="Calibri" w:cs="Calibri"/>
          <w:color w:val="1a1a1a" w:themeColor="background1" w:themeShade="1A"/>
          <w:sz w:val="24"/>
          <w:szCs w:val="24"/>
        </w:rPr>
      </w:pPr>
      <w:r>
        <w:rPr>
          <w:rStyle w:val="1032"/>
          <w:rFonts w:ascii="Calibri" w:hAnsi="Calibri" w:eastAsia="Calibri" w:cs="Calibri"/>
          <w:color w:val="1a1a1a" w:themeColor="background1" w:themeShade="1A"/>
          <w:sz w:val="24"/>
          <w:szCs w:val="24"/>
        </w:rPr>
        <w:t xml:space="preserve">RICARDO M. SALGADO NETO</w:t>
      </w:r>
      <w:r>
        <w:rPr>
          <w:rFonts w:ascii="Calibri" w:hAnsi="Calibri" w:cs="Calibri"/>
          <w:color w:val="1a1a1a" w:themeColor="background1" w:themeShade="1A"/>
          <w:sz w:val="24"/>
          <w:szCs w:val="24"/>
        </w:rPr>
      </w:r>
      <w:r>
        <w:rPr>
          <w:rFonts w:ascii="Calibri" w:hAnsi="Calibri" w:cs="Calibri"/>
          <w:color w:val="1a1a1a" w:themeColor="background1" w:themeShade="1A"/>
          <w:sz w:val="24"/>
          <w:szCs w:val="24"/>
        </w:rPr>
      </w:r>
    </w:p>
    <w:p>
      <w:pPr>
        <w:pStyle w:val="1031"/>
        <w:pBdr/>
        <w:spacing w:line="360" w:lineRule="auto"/>
        <w:ind/>
        <w:jc w:val="center"/>
        <w:rPr>
          <w:rFonts w:ascii="Calibri" w:hAnsi="Calibri" w:cs="Calibri"/>
          <w:color w:val="1a1a1a" w:themeColor="background1" w:themeShade="1A"/>
          <w:sz w:val="24"/>
          <w:szCs w:val="24"/>
          <w:highlight w:val="none"/>
        </w:rPr>
      </w:pPr>
      <w:r>
        <w:rPr>
          <w:rStyle w:val="1032"/>
          <w:rFonts w:ascii="Calibri" w:hAnsi="Calibri" w:eastAsia="Calibri" w:cs="Calibri"/>
          <w:color w:val="1a1a1a" w:themeColor="background1" w:themeShade="1A"/>
          <w:sz w:val="24"/>
          <w:szCs w:val="24"/>
        </w:rPr>
        <w:t xml:space="preserve">VEREADOR</w:t>
      </w:r>
      <w:r>
        <w:rPr>
          <w:rFonts w:ascii="Calibri" w:hAnsi="Calibri" w:cs="Calibri"/>
          <w:color w:val="1a1a1a" w:themeColor="background1" w:themeShade="1A"/>
          <w:sz w:val="24"/>
          <w:szCs w:val="24"/>
          <w:highlight w:val="none"/>
        </w:rPr>
      </w:r>
      <w:r>
        <w:rPr>
          <w:rFonts w:ascii="Calibri" w:hAnsi="Calibri" w:cs="Calibri"/>
          <w:color w:val="1a1a1a" w:themeColor="background1" w:themeShade="1A"/>
          <w:sz w:val="24"/>
          <w:szCs w:val="24"/>
          <w:highlight w:val="none"/>
        </w:rPr>
      </w:r>
    </w:p>
    <w:p>
      <w:pPr>
        <w:pBdr/>
        <w:spacing w:line="360" w:lineRule="auto"/>
        <w:ind/>
        <w:jc w:val="right"/>
        <w:rPr>
          <w:rFonts w:ascii="Calibri" w:hAnsi="Calibri" w:cs="Calibri"/>
          <w:sz w:val="18"/>
          <w:szCs w:val="18"/>
          <w:highlight w:val="none"/>
        </w:rPr>
      </w:pPr>
      <w:r>
        <w:rPr>
          <w:rFonts w:ascii="Calibri" w:hAnsi="Calibri" w:eastAsia="Calibri" w:cs="Calibri"/>
          <w:sz w:val="18"/>
          <w:szCs w:val="18"/>
        </w:rPr>
        <w:t xml:space="preserve">Elaboração: LEONARDO GAMA ALVITOS</w:t>
      </w:r>
      <w:r>
        <w:rPr>
          <w:rFonts w:ascii="Calibri" w:hAnsi="Calibri" w:cs="Calibri"/>
          <w:sz w:val="18"/>
          <w:szCs w:val="18"/>
          <w:highlight w:val="none"/>
        </w:rPr>
      </w:r>
      <w:r>
        <w:rPr>
          <w:rFonts w:ascii="Calibri" w:hAnsi="Calibri" w:cs="Calibri"/>
          <w:sz w:val="18"/>
          <w:szCs w:val="18"/>
          <w:highlight w:val="none"/>
        </w:rPr>
      </w:r>
    </w:p>
    <w:p>
      <w:pPr>
        <w:pBdr/>
        <w:spacing w:line="360" w:lineRule="auto"/>
        <w:ind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highlight w:val="none"/>
        </w:rPr>
        <w:t xml:space="preserve">PL 011/2025</w: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</w:r>
    </w:p>
    <w:p>
      <w:pPr>
        <w:pBdr/>
        <w:spacing w:line="300" w:lineRule="auto"/>
        <w:ind/>
        <w:jc w:val="center"/>
        <w:rPr>
          <w:b/>
          <w:bCs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b/>
          <w:bCs/>
        </w:rPr>
      </w:r>
    </w:p>
    <w:p>
      <w:pPr>
        <w:pBdr/>
        <w:spacing w:line="300" w:lineRule="auto"/>
        <w:ind/>
        <w:jc w:val="center"/>
        <w:rPr>
          <w:rFonts w:ascii="Calibri" w:hAnsi="Calibri" w:eastAsia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 xml:space="preserve">JUSTIFICATIVA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</w:p>
    <w:p>
      <w:pPr>
        <w:pBdr/>
        <w:spacing w:line="300" w:lineRule="auto"/>
        <w:ind/>
        <w:jc w:val="both"/>
        <w:rPr>
          <w:b/>
          <w:bCs/>
        </w:rPr>
      </w:pPr>
      <w:r>
        <w:rPr>
          <w:rFonts w:ascii="Calibri" w:hAnsi="Calibri" w:eastAsia="Calibri" w:cs="Calibri"/>
          <w:b/>
          <w:bCs/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00" w:lineRule="auto"/>
        <w:ind/>
        <w:jc w:val="both"/>
        <w:rPr>
          <w:b w:val="0"/>
          <w:bCs w:val="0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A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presente proposta visa instituir um Programa de Avaliação Continuada da Emissão de Fumaça Preta, como instrumento de controle ambiental e promoção da saúde pública no município de Macaé. A queima incompleta de óleo diesel em veículos automotores gera a em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issão de poluentes, especialmente material particulado e óxidos de nitrogênio, que são altamente prejudiciais à saúde humana e ao meio ambiente.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line="300" w:lineRule="auto"/>
        <w:ind/>
        <w:jc w:val="both"/>
        <w:rPr>
          <w:b w:val="0"/>
          <w:bCs w:val="0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line="300" w:lineRule="auto"/>
        <w:ind/>
        <w:jc w:val="both"/>
        <w:rPr>
          <w:b w:val="0"/>
          <w:bCs w:val="0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Além dos impa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ctos ambientais, a fumaça preta visível nos escapamentos dos veículos é um sinal evidente de queima ineficiente de combustível, podendo estar relacionada à deficiência na manutenção dos motores. Tal situação compromete a qualidade do ar e contribui para o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agravamento de doenças respiratórias na população.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line="300" w:lineRule="auto"/>
        <w:ind/>
        <w:jc w:val="both"/>
        <w:rPr>
          <w:b w:val="0"/>
          <w:bCs w:val="0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line="300" w:lineRule="auto"/>
        <w:ind/>
        <w:jc w:val="both"/>
        <w:rPr>
          <w:b w:val="0"/>
          <w:bCs w:val="0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Ao estabelecer um programa de monitoramento e correção, a Administração Pública Municipal demonstra seu compromisso com a sustentabilidade, a eficiência da frota pública e a responsabilidade socioambiental.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line="300" w:lineRule="auto"/>
        <w:ind/>
        <w:jc w:val="both"/>
        <w:rPr>
          <w:b w:val="0"/>
          <w:bCs w:val="0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line="300" w:lineRule="auto"/>
        <w:ind/>
        <w:jc w:val="both"/>
        <w:rPr>
          <w:b w:val="0"/>
          <w:bCs w:val="0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Ademais, a exigência estendida aos veículos de prestadores de serviços garante isonomia e corresponsabilidade, alinhando o setor privado aos objetivos ambientais da gestão pública.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line="300" w:lineRule="auto"/>
        <w:ind/>
        <w:jc w:val="both"/>
        <w:rPr>
          <w:b w:val="0"/>
          <w:bCs w:val="0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line="300" w:lineRule="auto"/>
        <w:ind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Diante do exposto, solicitamos o apoio dos nobres pares para a aprovação deste projeto de lei.</w:t>
      </w:r>
      <w:r>
        <w:rPr>
          <w:rFonts w:ascii="Calibri" w:hAnsi="Calibri" w:cs="Calibri"/>
          <w:b w:val="0"/>
          <w:bCs w:val="0"/>
          <w:sz w:val="24"/>
          <w:szCs w:val="24"/>
        </w:rPr>
      </w:r>
      <w:r>
        <w:rPr>
          <w:rFonts w:ascii="Calibri" w:hAnsi="Calibri" w:cs="Calibri"/>
          <w:b w:val="0"/>
          <w:bCs w:val="0"/>
          <w:sz w:val="24"/>
          <w:szCs w:val="24"/>
        </w:rPr>
      </w:r>
    </w:p>
    <w:p>
      <w:pPr>
        <w:pBdr/>
        <w:spacing w:line="300" w:lineRule="auto"/>
        <w:ind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31"/>
        <w:pBdr/>
        <w:spacing w:line="360" w:lineRule="auto"/>
        <w:ind/>
        <w:jc w:val="both"/>
        <w:rPr>
          <w:rStyle w:val="1034"/>
          <w:rFonts w:ascii="Calibri" w:hAnsi="Calibri" w:cs="Calibri"/>
          <w:color w:val="1a1a1a" w:themeColor="background1" w:themeShade="1A"/>
          <w:sz w:val="18"/>
          <w:szCs w:val="18"/>
        </w:rPr>
      </w:pPr>
      <w:r>
        <w:rPr>
          <w:rStyle w:val="1034"/>
          <w:rFonts w:ascii="Calibri" w:hAnsi="Calibri" w:cs="Calibri"/>
          <w:color w:val="1a1a1a" w:themeColor="background1" w:themeShade="1A"/>
          <w:sz w:val="18"/>
          <w:szCs w:val="18"/>
        </w:rPr>
      </w:r>
      <w:r>
        <w:rPr>
          <w:rStyle w:val="1034"/>
          <w:rFonts w:ascii="Calibri" w:hAnsi="Calibri" w:cs="Calibri"/>
          <w:color w:val="1a1a1a" w:themeColor="background1" w:themeShade="1A"/>
          <w:sz w:val="18"/>
          <w:szCs w:val="18"/>
        </w:rPr>
      </w:r>
      <w:r>
        <w:rPr>
          <w:rStyle w:val="1034"/>
          <w:rFonts w:ascii="Calibri" w:hAnsi="Calibri" w:cs="Calibri"/>
          <w:color w:val="1a1a1a" w:themeColor="background1" w:themeShade="1A"/>
          <w:sz w:val="18"/>
          <w:szCs w:val="18"/>
        </w:rPr>
      </w:r>
    </w:p>
    <w:p>
      <w:pPr>
        <w:pStyle w:val="1031"/>
        <w:pBdr/>
        <w:spacing w:line="360" w:lineRule="auto"/>
        <w:ind/>
        <w:jc w:val="both"/>
        <w:rPr>
          <w:rStyle w:val="1034"/>
          <w:rFonts w:ascii="Calibri" w:hAnsi="Calibri" w:cs="Calibri"/>
          <w:color w:val="1a1a1a" w:themeColor="background1" w:themeShade="1A"/>
          <w:sz w:val="18"/>
          <w:szCs w:val="18"/>
        </w:rPr>
      </w:pPr>
      <w:r>
        <w:rPr>
          <w:rStyle w:val="1034"/>
          <w:rFonts w:ascii="Calibri" w:hAnsi="Calibri" w:cs="Calibri"/>
          <w:color w:val="1a1a1a" w:themeColor="background1" w:themeShade="1A"/>
          <w:sz w:val="18"/>
          <w:szCs w:val="18"/>
        </w:rPr>
      </w:r>
      <w:r>
        <w:rPr>
          <w:rStyle w:val="1034"/>
          <w:rFonts w:ascii="Calibri" w:hAnsi="Calibri" w:cs="Calibri"/>
          <w:color w:val="1a1a1a" w:themeColor="background1" w:themeShade="1A"/>
          <w:sz w:val="18"/>
          <w:szCs w:val="18"/>
        </w:rPr>
      </w:r>
      <w:r>
        <w:rPr>
          <w:rStyle w:val="1034"/>
          <w:rFonts w:ascii="Calibri" w:hAnsi="Calibri" w:cs="Calibri"/>
          <w:color w:val="1a1a1a" w:themeColor="background1" w:themeShade="1A"/>
          <w:sz w:val="18"/>
          <w:szCs w:val="18"/>
        </w:rPr>
      </w:r>
    </w:p>
    <w:sectPr>
      <w:headerReference w:type="default" r:id="rId8"/>
      <w:footerReference w:type="default" r:id="rId9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UICTFontTextStyleBody">
    <w:panose1 w:val="05040102010807070707"/>
  </w:font>
  <w:font w:name="Times New Roman">
    <w:panose1 w:val="02020603050405020304"/>
  </w:font>
  <w:font w:name=".AppleSystemUIFont">
    <w:panose1 w:val="05040102010807070707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jc w:val="center"/>
      <w:rPr/>
    </w:pPr>
    <w:r>
      <w:rPr>
        <w:rStyle w:val="968"/>
        <w:rFonts w:ascii="Verdana" w:hAnsi="Verdana"/>
        <w:sz w:val="16"/>
        <w:szCs w:val="16"/>
      </w:rPr>
      <w:t xml:space="preserve">Palácio do Legislativo </w:t>
    </w:r>
    <w:r>
      <w:rPr>
        <w:rStyle w:val="968"/>
        <w:rFonts w:ascii="Verdana" w:hAnsi="Verdana"/>
        <w:sz w:val="16"/>
        <w:szCs w:val="16"/>
      </w:rPr>
      <w:t xml:space="preserve">Natálio</w:t>
    </w:r>
    <w:r>
      <w:rPr>
        <w:rStyle w:val="968"/>
        <w:rFonts w:ascii="Verdana" w:hAnsi="Verdana"/>
        <w:sz w:val="16"/>
        <w:szCs w:val="16"/>
      </w:rPr>
      <w:t xml:space="preserve"> Salvador Antunes</w:t>
    </w:r>
    <w:r/>
  </w:p>
  <w:p>
    <w:pPr>
      <w:pStyle w:val="1011"/>
      <w:pBdr/>
      <w:spacing/>
      <w:ind/>
      <w:jc w:val="center"/>
      <w:rPr/>
    </w:pPr>
    <w:r>
      <w:rPr>
        <w:rStyle w:val="1030"/>
        <w:rFonts w:ascii="Verdana" w:hAnsi="Verdana"/>
        <w:color w:val="202124"/>
        <w:sz w:val="16"/>
        <w:szCs w:val="16"/>
      </w:rPr>
      <w:t xml:space="preserve">Avenida Antônio Abreu, 1805. Fazenda </w:t>
    </w:r>
    <w:r>
      <w:rPr>
        <w:rStyle w:val="1030"/>
        <w:rFonts w:ascii="Verdana" w:hAnsi="Verdana"/>
        <w:color w:val="202124"/>
        <w:sz w:val="16"/>
        <w:szCs w:val="16"/>
      </w:rPr>
      <w:t xml:space="preserve">Blanchete</w:t>
    </w:r>
    <w:r>
      <w:rPr>
        <w:rStyle w:val="1030"/>
        <w:rFonts w:ascii="Verdana" w:hAnsi="Verdana"/>
        <w:color w:val="202124"/>
        <w:sz w:val="16"/>
        <w:szCs w:val="16"/>
      </w:rPr>
      <w:t xml:space="preserve"> - Horto - Macaé - RJ. 27.947-570</w:t>
    </w:r>
    <w:r/>
  </w:p>
  <w:p>
    <w:pPr>
      <w:pStyle w:val="1011"/>
      <w:pBdr/>
      <w:spacing/>
      <w:ind/>
      <w:jc w:val="center"/>
      <w:rPr/>
    </w:pPr>
    <w:r>
      <w:rPr>
        <w:rStyle w:val="968"/>
        <w:rFonts w:ascii="Verdana" w:hAnsi="Verdana"/>
        <w:sz w:val="16"/>
        <w:szCs w:val="16"/>
      </w:rPr>
      <w:t xml:space="preserve">Telefone: (22) 2772-4681/</w:t>
    </w:r>
    <w:hyperlink r:id="rId1" w:tooltip="https://www.google.com/search?q=camara+municipal+de+macaé&amp;ei=STSAYNrUGfq65OUPyv6k2Aw&amp;oq=camara+municipal+de+macaé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w:history="1">
      <w:r>
        <w:rPr>
          <w:rStyle w:val="1027"/>
          <w:rFonts w:ascii="Verdana" w:hAnsi="Verdana"/>
          <w:color w:val="000000"/>
          <w:sz w:val="16"/>
          <w:szCs w:val="16"/>
          <w:u w:val="none"/>
        </w:rPr>
        <w:t xml:space="preserve">(22) 2796-7800</w:t>
      </w:r>
    </w:hyperlink>
    <w:r/>
    <w:r/>
  </w:p>
  <w:p>
    <w:pPr>
      <w:pStyle w:val="101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990"/>
      <w:pBdr/>
      <w:spacing/>
      <w:ind/>
      <w:rPr/>
    </w:pPr>
    <w:r/>
    <w:r/>
  </w:p>
  <w:p>
    <w:pPr>
      <w:pStyle w:val="990"/>
      <w:pBdr/>
      <w:spacing/>
      <w:ind/>
      <w:rPr/>
    </w:pPr>
    <w:r/>
    <w:r/>
  </w:p>
  <w:p>
    <w:pPr>
      <w:pStyle w:val="99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tabs>
        <w:tab w:val="left" w:leader="none" w:pos="2160"/>
        <w:tab w:val="center" w:leader="none" w:pos="3519"/>
      </w:tabs>
      <w:spacing/>
      <w:ind/>
      <w:jc w:val="center"/>
      <w:rPr/>
    </w:pPr>
    <w:r>
      <w:rPr>
        <w:rStyle w:val="968"/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1" cy="538883"/>
              <wp:effectExtent l="0" t="0" r="479" b="0"/>
              <wp:docPr id="1" name="Imagem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1" cy="53888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1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1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1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1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1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11"/>
      <w:pBdr/>
      <w:spacing/>
      <w:ind/>
      <w:rPr/>
    </w:pPr>
    <w:r/>
    <w:r/>
  </w:p>
  <w:p>
    <w:pPr>
      <w:pStyle w:val="101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65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9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7">
    <w:name w:val="Placeholder Text"/>
    <w:basedOn w:val="965"/>
    <w:uiPriority w:val="99"/>
    <w:semiHidden/>
    <w:pPr>
      <w:pBdr/>
      <w:spacing/>
      <w:ind/>
    </w:pPr>
    <w:rPr>
      <w:color w:val="666666"/>
    </w:rPr>
  </w:style>
  <w:style w:type="character" w:styleId="803">
    <w:name w:val="Heading 1 Char"/>
    <w:basedOn w:val="965"/>
    <w:link w:val="9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4">
    <w:name w:val="Heading 2 Char"/>
    <w:basedOn w:val="965"/>
    <w:link w:val="95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5">
    <w:name w:val="Heading 3 Char"/>
    <w:basedOn w:val="965"/>
    <w:link w:val="9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6">
    <w:name w:val="Heading 4 Char"/>
    <w:basedOn w:val="965"/>
    <w:link w:val="9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7">
    <w:name w:val="Heading 5 Char"/>
    <w:basedOn w:val="965"/>
    <w:link w:val="96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8">
    <w:name w:val="Heading 6 Char"/>
    <w:basedOn w:val="965"/>
    <w:link w:val="96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9">
    <w:name w:val="Heading 7 Char"/>
    <w:basedOn w:val="965"/>
    <w:link w:val="9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0">
    <w:name w:val="Heading 8 Char"/>
    <w:basedOn w:val="965"/>
    <w:link w:val="9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1">
    <w:name w:val="Heading 9 Char"/>
    <w:basedOn w:val="965"/>
    <w:link w:val="9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2">
    <w:name w:val="Subtitle Char"/>
    <w:basedOn w:val="965"/>
    <w:link w:val="982"/>
    <w:uiPriority w:val="11"/>
    <w:pPr>
      <w:pBdr/>
      <w:spacing/>
      <w:ind/>
    </w:pPr>
    <w:rPr>
      <w:sz w:val="24"/>
      <w:szCs w:val="24"/>
    </w:rPr>
  </w:style>
  <w:style w:type="character" w:styleId="813">
    <w:name w:val="Quote Char"/>
    <w:link w:val="984"/>
    <w:uiPriority w:val="29"/>
    <w:pPr>
      <w:pBdr/>
      <w:spacing/>
      <w:ind/>
    </w:pPr>
    <w:rPr>
      <w:i/>
    </w:rPr>
  </w:style>
  <w:style w:type="character" w:styleId="814">
    <w:name w:val="Intense Quote Char"/>
    <w:link w:val="986"/>
    <w:uiPriority w:val="30"/>
    <w:pPr>
      <w:pBdr/>
      <w:spacing/>
      <w:ind/>
    </w:pPr>
    <w:rPr>
      <w:i/>
    </w:rPr>
  </w:style>
  <w:style w:type="character" w:styleId="815">
    <w:name w:val="Header Char"/>
    <w:basedOn w:val="965"/>
    <w:link w:val="988"/>
    <w:uiPriority w:val="99"/>
    <w:pPr>
      <w:pBdr/>
      <w:spacing/>
      <w:ind/>
    </w:pPr>
  </w:style>
  <w:style w:type="table" w:styleId="816">
    <w:name w:val="Table Grid"/>
    <w:basedOn w:val="9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Table Grid Light"/>
    <w:basedOn w:val="9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1"/>
    <w:basedOn w:val="9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2"/>
    <w:basedOn w:val="9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2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2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3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3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3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- Accent 1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2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 - Accent 3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 - Accent 4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4 - Accent 5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 - Accent 6"/>
    <w:basedOn w:val="9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5 Dark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5 Dark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5 Dark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6 Colorful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6 Colorful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7 Colorful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1 Light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1 Light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2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2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3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3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4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4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5 Dark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5 Dark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6 Colorful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6 Colorful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6 Colorful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7 Colorful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1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ned - Accent 2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ned - Accent 3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 4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ned - Accent 5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 6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1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2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&amp; Lined - Accent 3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&amp; Lined - Accent 4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&amp; Lined - Accent 5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 6"/>
    <w:basedOn w:val="9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- Accent 1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- Accent 2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- Accent 3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- Accent 4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- Accent 5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- Accent 6"/>
    <w:basedOn w:val="9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43">
    <w:name w:val="Footnote Text Char"/>
    <w:link w:val="994"/>
    <w:uiPriority w:val="99"/>
    <w:pPr>
      <w:pBdr/>
      <w:spacing/>
      <w:ind/>
    </w:pPr>
    <w:rPr>
      <w:sz w:val="18"/>
    </w:rPr>
  </w:style>
  <w:style w:type="character" w:styleId="944">
    <w:name w:val="Endnote Text Char"/>
    <w:link w:val="997"/>
    <w:uiPriority w:val="99"/>
    <w:pPr>
      <w:pBdr/>
      <w:spacing/>
      <w:ind/>
    </w:pPr>
    <w:rPr>
      <w:sz w:val="20"/>
    </w:rPr>
  </w:style>
  <w:style w:type="paragraph" w:styleId="945">
    <w:name w:val="toc 1"/>
    <w:basedOn w:val="955"/>
    <w:next w:val="955"/>
    <w:uiPriority w:val="39"/>
    <w:unhideWhenUsed/>
    <w:pPr>
      <w:pBdr/>
      <w:spacing w:after="57"/>
      <w:ind w:right="0" w:firstLine="0" w:left="0"/>
    </w:pPr>
  </w:style>
  <w:style w:type="paragraph" w:styleId="946">
    <w:name w:val="toc 2"/>
    <w:basedOn w:val="955"/>
    <w:next w:val="955"/>
    <w:uiPriority w:val="39"/>
    <w:unhideWhenUsed/>
    <w:pPr>
      <w:pBdr/>
      <w:spacing w:after="57"/>
      <w:ind w:right="0" w:firstLine="0" w:left="283"/>
    </w:pPr>
  </w:style>
  <w:style w:type="paragraph" w:styleId="947">
    <w:name w:val="toc 3"/>
    <w:basedOn w:val="955"/>
    <w:next w:val="955"/>
    <w:uiPriority w:val="39"/>
    <w:unhideWhenUsed/>
    <w:pPr>
      <w:pBdr/>
      <w:spacing w:after="57"/>
      <w:ind w:right="0" w:firstLine="0" w:left="567"/>
    </w:pPr>
  </w:style>
  <w:style w:type="paragraph" w:styleId="948">
    <w:name w:val="toc 4"/>
    <w:basedOn w:val="955"/>
    <w:next w:val="955"/>
    <w:uiPriority w:val="39"/>
    <w:unhideWhenUsed/>
    <w:pPr>
      <w:pBdr/>
      <w:spacing w:after="57"/>
      <w:ind w:right="0" w:firstLine="0" w:left="850"/>
    </w:pPr>
  </w:style>
  <w:style w:type="paragraph" w:styleId="949">
    <w:name w:val="toc 5"/>
    <w:basedOn w:val="955"/>
    <w:next w:val="955"/>
    <w:uiPriority w:val="39"/>
    <w:unhideWhenUsed/>
    <w:pPr>
      <w:pBdr/>
      <w:spacing w:after="57"/>
      <w:ind w:right="0" w:firstLine="0" w:left="1134"/>
    </w:pPr>
  </w:style>
  <w:style w:type="paragraph" w:styleId="950">
    <w:name w:val="toc 6"/>
    <w:basedOn w:val="955"/>
    <w:next w:val="955"/>
    <w:uiPriority w:val="39"/>
    <w:unhideWhenUsed/>
    <w:pPr>
      <w:pBdr/>
      <w:spacing w:after="57"/>
      <w:ind w:right="0" w:firstLine="0" w:left="1417"/>
    </w:pPr>
  </w:style>
  <w:style w:type="paragraph" w:styleId="951">
    <w:name w:val="toc 7"/>
    <w:basedOn w:val="955"/>
    <w:next w:val="955"/>
    <w:uiPriority w:val="39"/>
    <w:unhideWhenUsed/>
    <w:pPr>
      <w:pBdr/>
      <w:spacing w:after="57"/>
      <w:ind w:right="0" w:firstLine="0" w:left="1701"/>
    </w:pPr>
  </w:style>
  <w:style w:type="paragraph" w:styleId="952">
    <w:name w:val="toc 8"/>
    <w:basedOn w:val="955"/>
    <w:next w:val="955"/>
    <w:uiPriority w:val="39"/>
    <w:unhideWhenUsed/>
    <w:pPr>
      <w:pBdr/>
      <w:spacing w:after="57"/>
      <w:ind w:right="0" w:firstLine="0" w:left="1984"/>
    </w:pPr>
  </w:style>
  <w:style w:type="paragraph" w:styleId="953">
    <w:name w:val="toc 9"/>
    <w:basedOn w:val="955"/>
    <w:next w:val="955"/>
    <w:uiPriority w:val="39"/>
    <w:unhideWhenUsed/>
    <w:pPr>
      <w:pBdr/>
      <w:spacing w:after="57"/>
      <w:ind w:right="0" w:firstLine="0" w:left="2268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 w:default="1">
    <w:name w:val="Normal"/>
    <w:pPr>
      <w:pBdr/>
      <w:spacing/>
      <w:ind/>
    </w:pPr>
    <w:rPr>
      <w:sz w:val="24"/>
      <w:szCs w:val="24"/>
      <w:lang w:eastAsia="pt-BR"/>
    </w:rPr>
  </w:style>
  <w:style w:type="paragraph" w:styleId="956">
    <w:name w:val="Heading 1"/>
    <w:basedOn w:val="955"/>
    <w:next w:val="955"/>
    <w:pPr>
      <w:keepNext w:val="true"/>
      <w:pBdr/>
      <w:spacing/>
      <w:ind/>
      <w:jc w:val="center"/>
      <w:outlineLvl w:val="0"/>
    </w:pPr>
    <w:rPr>
      <w:sz w:val="36"/>
    </w:rPr>
  </w:style>
  <w:style w:type="paragraph" w:styleId="957">
    <w:name w:val="Heading 2"/>
    <w:basedOn w:val="955"/>
    <w:next w:val="955"/>
    <w:pPr>
      <w:keepNext w:val="true"/>
      <w:pBdr/>
      <w:spacing w:after="60" w:before="240"/>
      <w:ind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58">
    <w:name w:val="Heading 3"/>
    <w:basedOn w:val="955"/>
    <w:next w:val="955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59">
    <w:name w:val="Heading 4"/>
    <w:basedOn w:val="955"/>
    <w:next w:val="955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60">
    <w:name w:val="Heading 5"/>
    <w:basedOn w:val="955"/>
    <w:next w:val="955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961">
    <w:name w:val="Heading 6"/>
    <w:basedOn w:val="955"/>
    <w:next w:val="955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62">
    <w:name w:val="Heading 7"/>
    <w:basedOn w:val="955"/>
    <w:next w:val="955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63">
    <w:name w:val="Heading 8"/>
    <w:basedOn w:val="955"/>
    <w:next w:val="955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64">
    <w:name w:val="Heading 9"/>
    <w:basedOn w:val="955"/>
    <w:next w:val="955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5" w:default="1">
    <w:name w:val="Default Paragraph Font"/>
    <w:uiPriority w:val="1"/>
    <w:semiHidden/>
    <w:unhideWhenUsed/>
    <w:pPr>
      <w:pBdr/>
      <w:spacing/>
      <w:ind/>
    </w:pPr>
  </w:style>
  <w:style w:type="table" w:styleId="9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7" w:default="1">
    <w:name w:val="No List"/>
    <w:uiPriority w:val="99"/>
    <w:semiHidden/>
    <w:unhideWhenUsed/>
    <w:pPr>
      <w:pBdr/>
      <w:spacing/>
      <w:ind/>
    </w:pPr>
  </w:style>
  <w:style w:type="character" w:styleId="968" w:customStyle="1">
    <w:name w:val="Tipo de letra predefinido do parágrafo"/>
    <w:pPr>
      <w:pBdr/>
      <w:spacing/>
      <w:ind/>
    </w:pPr>
  </w:style>
  <w:style w:type="character" w:styleId="969" w:customStyle="1">
    <w:name w:val="Título 1 Caráter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70" w:customStyle="1">
    <w:name w:val="Título 2 Caráter"/>
    <w:pPr>
      <w:pBdr/>
      <w:spacing/>
      <w:ind/>
    </w:pPr>
    <w:rPr>
      <w:rFonts w:ascii="Arial" w:hAnsi="Arial" w:eastAsia="Arial" w:cs="Arial"/>
      <w:sz w:val="34"/>
    </w:rPr>
  </w:style>
  <w:style w:type="character" w:styleId="971" w:customStyle="1">
    <w:name w:val="Título 3 Caráter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72" w:customStyle="1">
    <w:name w:val="Título 4 Caráter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73" w:customStyle="1">
    <w:name w:val="Título 5 Caráter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74" w:customStyle="1">
    <w:name w:val="Título 6 Caráter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75" w:customStyle="1">
    <w:name w:val="Título 7 Caráter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6" w:customStyle="1">
    <w:name w:val="Título 8 Caráter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77" w:customStyle="1">
    <w:name w:val="Título 9 Caráter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78">
    <w:name w:val="List Paragraph"/>
    <w:basedOn w:val="955"/>
    <w:pPr>
      <w:pBdr/>
      <w:spacing/>
      <w:ind w:left="708"/>
    </w:pPr>
  </w:style>
  <w:style w:type="paragraph" w:styleId="979">
    <w:name w:val="No Spacing"/>
    <w:pPr>
      <w:pBdr/>
      <w:spacing/>
      <w:ind/>
    </w:pPr>
  </w:style>
  <w:style w:type="paragraph" w:styleId="980">
    <w:name w:val="Title"/>
    <w:basedOn w:val="955"/>
    <w:pPr>
      <w:pBdr/>
      <w:spacing/>
      <w:ind/>
      <w:jc w:val="center"/>
    </w:pPr>
    <w:rPr>
      <w:b/>
      <w:bCs/>
      <w:sz w:val="28"/>
      <w:szCs w:val="28"/>
    </w:rPr>
  </w:style>
  <w:style w:type="character" w:styleId="981" w:customStyle="1">
    <w:name w:val="Title Char"/>
    <w:pPr>
      <w:pBdr/>
      <w:spacing/>
      <w:ind/>
    </w:pPr>
    <w:rPr>
      <w:sz w:val="48"/>
      <w:szCs w:val="48"/>
    </w:rPr>
  </w:style>
  <w:style w:type="paragraph" w:styleId="982">
    <w:name w:val="Subtitle"/>
    <w:basedOn w:val="955"/>
    <w:next w:val="955"/>
    <w:pPr>
      <w:pBdr/>
      <w:spacing w:after="200" w:before="200"/>
      <w:ind/>
    </w:pPr>
  </w:style>
  <w:style w:type="character" w:styleId="983" w:customStyle="1">
    <w:name w:val="Subtítulo Caráter"/>
    <w:pPr>
      <w:pBdr/>
      <w:spacing/>
      <w:ind/>
    </w:pPr>
    <w:rPr>
      <w:sz w:val="24"/>
      <w:szCs w:val="24"/>
    </w:rPr>
  </w:style>
  <w:style w:type="paragraph" w:styleId="984">
    <w:name w:val="Quote"/>
    <w:basedOn w:val="955"/>
    <w:next w:val="955"/>
    <w:pPr>
      <w:pBdr/>
      <w:spacing/>
      <w:ind w:right="720" w:left="720"/>
    </w:pPr>
    <w:rPr>
      <w:i/>
    </w:rPr>
  </w:style>
  <w:style w:type="character" w:styleId="985" w:customStyle="1">
    <w:name w:val="Citação Caráter"/>
    <w:pPr>
      <w:pBdr/>
      <w:spacing/>
      <w:ind/>
    </w:pPr>
    <w:rPr>
      <w:i/>
    </w:rPr>
  </w:style>
  <w:style w:type="paragraph" w:styleId="986">
    <w:name w:val="Intense Quote"/>
    <w:basedOn w:val="955"/>
    <w:next w:val="95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87" w:customStyle="1">
    <w:name w:val="Citação Intensa Caráter"/>
    <w:pPr>
      <w:pBdr/>
      <w:spacing/>
      <w:ind/>
    </w:pPr>
    <w:rPr>
      <w:i/>
    </w:rPr>
  </w:style>
  <w:style w:type="paragraph" w:styleId="988">
    <w:name w:val="Header"/>
    <w:basedOn w:val="955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89" w:customStyle="1">
    <w:name w:val="Cabeçalho Caráter"/>
    <w:pPr>
      <w:pBdr/>
      <w:spacing/>
      <w:ind/>
    </w:pPr>
  </w:style>
  <w:style w:type="paragraph" w:styleId="990">
    <w:name w:val="Footer"/>
    <w:basedOn w:val="955"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991" w:customStyle="1">
    <w:name w:val="Footer Char"/>
    <w:pPr>
      <w:pBdr/>
      <w:spacing/>
      <w:ind/>
    </w:pPr>
  </w:style>
  <w:style w:type="paragraph" w:styleId="992">
    <w:name w:val="Caption"/>
    <w:basedOn w:val="955"/>
    <w:next w:val="955"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993" w:customStyle="1">
    <w:name w:val="Caption Char"/>
    <w:pPr>
      <w:pBdr/>
      <w:spacing/>
      <w:ind/>
    </w:pPr>
  </w:style>
  <w:style w:type="paragraph" w:styleId="994">
    <w:name w:val="footnote text"/>
    <w:basedOn w:val="955"/>
    <w:pPr>
      <w:pBdr/>
      <w:spacing w:after="40"/>
      <w:ind/>
    </w:pPr>
    <w:rPr>
      <w:sz w:val="18"/>
    </w:rPr>
  </w:style>
  <w:style w:type="character" w:styleId="995" w:customStyle="1">
    <w:name w:val="Texto de nota de rodapé Caráter"/>
    <w:pPr>
      <w:pBdr/>
      <w:spacing/>
      <w:ind/>
    </w:pPr>
    <w:rPr>
      <w:sz w:val="18"/>
    </w:rPr>
  </w:style>
  <w:style w:type="character" w:styleId="996">
    <w:name w:val="footnote reference"/>
    <w:pPr>
      <w:pBdr/>
      <w:spacing/>
      <w:ind/>
    </w:pPr>
    <w:rPr>
      <w:position w:val="0"/>
      <w:vertAlign w:val="superscript"/>
    </w:rPr>
  </w:style>
  <w:style w:type="paragraph" w:styleId="997">
    <w:name w:val="endnote text"/>
    <w:basedOn w:val="955"/>
    <w:pPr>
      <w:pBdr/>
      <w:spacing/>
      <w:ind/>
    </w:pPr>
    <w:rPr>
      <w:sz w:val="20"/>
    </w:rPr>
  </w:style>
  <w:style w:type="character" w:styleId="998" w:customStyle="1">
    <w:name w:val="Texto de nota de fim Caráter"/>
    <w:pPr>
      <w:pBdr/>
      <w:spacing/>
      <w:ind/>
    </w:pPr>
    <w:rPr>
      <w:sz w:val="20"/>
    </w:rPr>
  </w:style>
  <w:style w:type="character" w:styleId="999">
    <w:name w:val="endnote reference"/>
    <w:pPr>
      <w:pBdr/>
      <w:spacing/>
      <w:ind/>
    </w:pPr>
    <w:rPr>
      <w:position w:val="0"/>
      <w:vertAlign w:val="superscript"/>
    </w:rPr>
  </w:style>
  <w:style w:type="paragraph" w:styleId="1000" w:customStyle="1">
    <w:name w:val="Índice 1"/>
    <w:basedOn w:val="955"/>
    <w:next w:val="955"/>
    <w:pPr>
      <w:pBdr/>
      <w:spacing w:after="57"/>
      <w:ind/>
    </w:pPr>
  </w:style>
  <w:style w:type="paragraph" w:styleId="1001" w:customStyle="1">
    <w:name w:val="Índice 2"/>
    <w:basedOn w:val="955"/>
    <w:next w:val="955"/>
    <w:pPr>
      <w:pBdr/>
      <w:spacing w:after="57"/>
      <w:ind w:left="283"/>
    </w:pPr>
  </w:style>
  <w:style w:type="paragraph" w:styleId="1002" w:customStyle="1">
    <w:name w:val="Índice 3"/>
    <w:basedOn w:val="955"/>
    <w:next w:val="955"/>
    <w:pPr>
      <w:pBdr/>
      <w:spacing w:after="57"/>
      <w:ind w:left="567"/>
    </w:pPr>
  </w:style>
  <w:style w:type="paragraph" w:styleId="1003" w:customStyle="1">
    <w:name w:val="Índice 4"/>
    <w:basedOn w:val="955"/>
    <w:next w:val="955"/>
    <w:pPr>
      <w:pBdr/>
      <w:spacing w:after="57"/>
      <w:ind w:left="850"/>
    </w:pPr>
  </w:style>
  <w:style w:type="paragraph" w:styleId="1004" w:customStyle="1">
    <w:name w:val="Índice 5"/>
    <w:basedOn w:val="955"/>
    <w:next w:val="955"/>
    <w:pPr>
      <w:pBdr/>
      <w:spacing w:after="57"/>
      <w:ind w:left="1134"/>
    </w:pPr>
  </w:style>
  <w:style w:type="paragraph" w:styleId="1005" w:customStyle="1">
    <w:name w:val="Índice 6"/>
    <w:basedOn w:val="955"/>
    <w:next w:val="955"/>
    <w:pPr>
      <w:pBdr/>
      <w:spacing w:after="57"/>
      <w:ind w:left="1417"/>
    </w:pPr>
  </w:style>
  <w:style w:type="paragraph" w:styleId="1006" w:customStyle="1">
    <w:name w:val="Índice 7"/>
    <w:basedOn w:val="955"/>
    <w:next w:val="955"/>
    <w:pPr>
      <w:pBdr/>
      <w:spacing w:after="57"/>
      <w:ind w:left="1701"/>
    </w:pPr>
  </w:style>
  <w:style w:type="paragraph" w:styleId="1007" w:customStyle="1">
    <w:name w:val="Índice 8"/>
    <w:basedOn w:val="955"/>
    <w:next w:val="955"/>
    <w:pPr>
      <w:pBdr/>
      <w:spacing w:after="57"/>
      <w:ind w:left="1984"/>
    </w:pPr>
  </w:style>
  <w:style w:type="paragraph" w:styleId="1008" w:customStyle="1">
    <w:name w:val="Índice 9"/>
    <w:basedOn w:val="955"/>
    <w:next w:val="955"/>
    <w:pPr>
      <w:pBdr/>
      <w:spacing w:after="57"/>
      <w:ind w:left="2268"/>
    </w:pPr>
  </w:style>
  <w:style w:type="paragraph" w:styleId="1009" w:customStyle="1">
    <w:name w:val="Cabeçalho do Índice"/>
    <w:pPr>
      <w:pBdr/>
      <w:spacing/>
      <w:ind/>
    </w:pPr>
  </w:style>
  <w:style w:type="paragraph" w:styleId="1010">
    <w:name w:val="table of figures"/>
    <w:basedOn w:val="955"/>
    <w:next w:val="955"/>
    <w:pPr>
      <w:pBdr/>
      <w:spacing/>
      <w:ind/>
    </w:pPr>
  </w:style>
  <w:style w:type="paragraph" w:styleId="1011" w:customStyle="1">
    <w:name w:val="Cabeçalho;Cabeçalho superior;Heading 1a"/>
    <w:basedOn w:val="955"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12">
    <w:name w:val="Body Text"/>
    <w:basedOn w:val="955"/>
    <w:pPr>
      <w:pBdr/>
      <w:spacing/>
      <w:ind/>
      <w:jc w:val="both"/>
    </w:pPr>
  </w:style>
  <w:style w:type="paragraph" w:styleId="1013" w:customStyle="1">
    <w:name w:val="Avanço de corpo de texto"/>
    <w:basedOn w:val="955"/>
    <w:pPr>
      <w:pBdr/>
      <w:spacing/>
      <w:ind w:left="3960"/>
    </w:pPr>
  </w:style>
  <w:style w:type="paragraph" w:styleId="1014">
    <w:name w:val="Body Text 2"/>
    <w:basedOn w:val="955"/>
    <w:pPr>
      <w:pBdr/>
      <w:spacing/>
      <w:ind/>
      <w:jc w:val="both"/>
    </w:pPr>
    <w:rPr>
      <w:rFonts w:ascii="Arial" w:hAnsi="Arial"/>
      <w:b/>
      <w:bCs/>
      <w:sz w:val="28"/>
    </w:rPr>
  </w:style>
  <w:style w:type="paragraph" w:styleId="1015" w:customStyle="1">
    <w:name w:val="p21"/>
    <w:basedOn w:val="955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16" w:customStyle="1">
    <w:name w:val="Avanço de corpo de texto 2"/>
    <w:basedOn w:val="955"/>
    <w:pPr>
      <w:pBdr/>
      <w:spacing/>
      <w:ind w:left="540"/>
      <w:jc w:val="both"/>
    </w:pPr>
    <w:rPr>
      <w:rFonts w:ascii="Arial" w:hAnsi="Arial"/>
      <w:b/>
      <w:bCs/>
    </w:rPr>
  </w:style>
  <w:style w:type="paragraph" w:styleId="1017" w:customStyle="1">
    <w:name w:val="Avanço de corpo de texto 3"/>
    <w:basedOn w:val="955"/>
    <w:pPr>
      <w:pBdr/>
      <w:spacing/>
      <w:ind w:left="720"/>
      <w:jc w:val="both"/>
    </w:pPr>
    <w:rPr>
      <w:rFonts w:ascii="Arial" w:hAnsi="Arial"/>
      <w:b/>
      <w:bCs/>
    </w:rPr>
  </w:style>
  <w:style w:type="paragraph" w:styleId="1018">
    <w:name w:val="Body Text 3"/>
    <w:basedOn w:val="955"/>
    <w:pPr>
      <w:pBdr/>
      <w:spacing/>
      <w:ind/>
      <w:jc w:val="both"/>
    </w:pPr>
    <w:rPr>
      <w:rFonts w:ascii="Arial" w:hAnsi="Arial"/>
      <w:b/>
      <w:bCs/>
    </w:rPr>
  </w:style>
  <w:style w:type="character" w:styleId="1019" w:customStyle="1">
    <w:name w:val="Título Caráter"/>
    <w:pPr>
      <w:pBdr/>
      <w:spacing/>
      <w:ind/>
    </w:pPr>
    <w:rPr>
      <w:b/>
      <w:bCs/>
      <w:sz w:val="28"/>
      <w:szCs w:val="28"/>
    </w:rPr>
  </w:style>
  <w:style w:type="paragraph" w:styleId="1020" w:customStyle="1">
    <w:name w:val="Texto simples"/>
    <w:basedOn w:val="955"/>
    <w:pPr>
      <w:pBdr/>
      <w:spacing/>
      <w:ind/>
    </w:pPr>
    <w:rPr>
      <w:rFonts w:ascii="Courier New" w:hAnsi="Courier New"/>
      <w:sz w:val="20"/>
      <w:szCs w:val="20"/>
    </w:rPr>
  </w:style>
  <w:style w:type="character" w:styleId="1021" w:customStyle="1">
    <w:name w:val="Texto simples Caráter"/>
    <w:pPr>
      <w:pBdr/>
      <w:spacing/>
      <w:ind/>
    </w:pPr>
    <w:rPr>
      <w:rFonts w:ascii="Courier New" w:hAnsi="Courier New"/>
    </w:rPr>
  </w:style>
  <w:style w:type="character" w:styleId="1022" w:customStyle="1">
    <w:name w:val="Cabeçalho Char;Cabeçalho superior Char;Heading 1a Char"/>
    <w:basedOn w:val="968"/>
    <w:pPr>
      <w:pBdr/>
      <w:spacing/>
      <w:ind/>
    </w:pPr>
  </w:style>
  <w:style w:type="paragraph" w:styleId="1023">
    <w:name w:val="Normal (Web)"/>
    <w:basedOn w:val="955"/>
    <w:pPr>
      <w:pBdr/>
      <w:spacing w:after="100" w:before="100"/>
      <w:ind/>
    </w:pPr>
  </w:style>
  <w:style w:type="character" w:styleId="1024">
    <w:name w:val="Strong"/>
    <w:pPr>
      <w:pBdr/>
      <w:spacing/>
      <w:ind/>
    </w:pPr>
    <w:rPr>
      <w:b/>
      <w:bCs/>
    </w:rPr>
  </w:style>
  <w:style w:type="character" w:styleId="1025" w:customStyle="1">
    <w:name w:val="textojustificado"/>
    <w:basedOn w:val="968"/>
    <w:pPr>
      <w:pBdr/>
      <w:spacing/>
      <w:ind/>
    </w:pPr>
  </w:style>
  <w:style w:type="character" w:styleId="1026" w:customStyle="1">
    <w:name w:val="Rodapé Caráter"/>
    <w:pPr>
      <w:pBdr/>
      <w:spacing/>
      <w:ind/>
    </w:pPr>
    <w:rPr>
      <w:sz w:val="24"/>
      <w:szCs w:val="24"/>
    </w:rPr>
  </w:style>
  <w:style w:type="character" w:styleId="1027" w:customStyle="1">
    <w:name w:val="Hiperligação"/>
    <w:pPr>
      <w:pBdr/>
      <w:spacing/>
      <w:ind/>
    </w:pPr>
    <w:rPr>
      <w:color w:val="0563c1"/>
      <w:u w:val="single"/>
    </w:rPr>
  </w:style>
  <w:style w:type="paragraph" w:styleId="1028">
    <w:name w:val="Balloon Text"/>
    <w:basedOn w:val="955"/>
    <w:pPr>
      <w:pBdr/>
      <w:spacing/>
      <w:ind/>
    </w:pPr>
    <w:rPr>
      <w:rFonts w:ascii="Segoe UI" w:hAnsi="Segoe UI"/>
      <w:sz w:val="18"/>
      <w:szCs w:val="18"/>
    </w:rPr>
  </w:style>
  <w:style w:type="character" w:styleId="1029" w:customStyle="1">
    <w:name w:val="Texto de balão Caráter"/>
    <w:pPr>
      <w:pBdr/>
      <w:spacing/>
      <w:ind/>
    </w:pPr>
    <w:rPr>
      <w:rFonts w:ascii="Segoe UI" w:hAnsi="Segoe UI"/>
      <w:sz w:val="18"/>
      <w:szCs w:val="18"/>
    </w:rPr>
  </w:style>
  <w:style w:type="character" w:styleId="1030" w:customStyle="1">
    <w:name w:val="lrzxr"/>
    <w:basedOn w:val="968"/>
    <w:pPr>
      <w:pBdr/>
      <w:spacing/>
      <w:ind/>
    </w:pPr>
  </w:style>
  <w:style w:type="paragraph" w:styleId="1031" w:customStyle="1">
    <w:name w:val="p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.AppleSystemUIFont" w:hAnsi=".AppleSystemUIFont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ffffff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character" w:styleId="1032" w:customStyle="1">
    <w:name w:val="s3"/>
    <w:pPr>
      <w:pBdr/>
      <w:spacing/>
      <w:ind/>
    </w:pPr>
    <w:rPr>
      <w:rFonts w:ascii="UICTFontTextStyleBody" w:hAnsi="UICTFontTextStyleBody"/>
      <w:b/>
      <w:bCs/>
      <w:i w:val="0"/>
      <w:iCs w:val="0"/>
      <w:sz w:val="26"/>
      <w:szCs w:val="26"/>
    </w:rPr>
  </w:style>
  <w:style w:type="paragraph" w:styleId="1033" w:customStyle="1">
    <w:name w:val="p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.AppleSystemUIFont" w:hAnsi=".AppleSystemUIFont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ffffff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character" w:styleId="1034" w:customStyle="1">
    <w:name w:val="s1"/>
    <w:pPr>
      <w:pBdr/>
      <w:spacing/>
      <w:ind/>
    </w:pPr>
    <w:rPr>
      <w:rFonts w:ascii="UICTFontTextStyleBody" w:hAnsi="UICTFontTextStyleBody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ogle.com/search?q=camara+municipal+de+maca&#233;&amp;ei=STSAYNrUGfq65OUPyv6k2Aw&amp;oq=camara+municipal+de+maca&#233;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Alvitos-03</dc:creator>
  <cp:revision>17</cp:revision>
  <dcterms:created xsi:type="dcterms:W3CDTF">2025-02-07T20:00:00Z</dcterms:created>
  <dcterms:modified xsi:type="dcterms:W3CDTF">2025-07-25T18:02:52Z</dcterms:modified>
</cp:coreProperties>
</file>