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55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5"/>
        <w:pBdr/>
        <w:spacing/>
        <w:ind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1055"/>
        <w:pBdr/>
        <w:spacing/>
        <w:ind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INDICAÇÃO</w:t>
      </w:r>
      <w:r>
        <w:rPr>
          <w:rFonts w:ascii="Calibri" w:hAnsi="Calibri"/>
          <w:b/>
          <w:sz w:val="28"/>
          <w:szCs w:val="28"/>
        </w:rPr>
        <w:t xml:space="preserve"> Nº________/2025</w:t>
      </w: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pStyle w:val="1055"/>
        <w:pBdr/>
        <w:spacing w:line="360" w:lineRule="auto"/>
        <w:ind/>
        <w:jc w:val="both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>
        <w:rPr>
          <w:rFonts w:ascii="Calibri" w:hAnsi="Calibri" w:eastAsia="Calibri" w:cs="Calibri"/>
          <w:sz w:val="24"/>
          <w:szCs w:val="24"/>
        </w:rPr>
        <w:t xml:space="preserve">        </w:t>
      </w:r>
      <w:r>
        <w:rPr>
          <w:rFonts w:ascii="Calibri" w:hAnsi="Calibri" w:eastAsia="Calibri" w:cs="Calibri"/>
          <w:sz w:val="24"/>
          <w:szCs w:val="24"/>
        </w:rPr>
        <w:t xml:space="preserve">    </w:t>
      </w:r>
      <w:r>
        <w:rPr>
          <w:rFonts w:ascii="Calibri" w:hAnsi="Calibri" w:eastAsia="Calibri" w:cs="Calibri"/>
          <w:sz w:val="24"/>
          <w:szCs w:val="24"/>
        </w:rPr>
        <w:t xml:space="preserve">O Vereador que a</w:t>
      </w:r>
      <w:r>
        <w:rPr>
          <w:rFonts w:ascii="Calibri" w:hAnsi="Calibri" w:eastAsia="Calibri" w:cs="Calibri"/>
          <w:sz w:val="24"/>
          <w:szCs w:val="24"/>
        </w:rPr>
        <w:t xml:space="preserve"> present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subscreve</w:t>
      </w:r>
      <w:r>
        <w:rPr>
          <w:rFonts w:ascii="Calibri" w:hAnsi="Calibri" w:eastAsia="Calibri" w:cs="Calibri"/>
          <w:sz w:val="24"/>
          <w:szCs w:val="24"/>
        </w:rPr>
        <w:t xml:space="preserve">, observadas as normas regimentais,</w:t>
      </w:r>
      <w:r>
        <w:rPr>
          <w:rFonts w:ascii="Calibri" w:hAnsi="Calibri" w:eastAsia="Calibri" w:cs="Calibri"/>
          <w:b/>
          <w:bCs/>
          <w:sz w:val="24"/>
          <w:szCs w:val="24"/>
        </w:rPr>
        <w:t xml:space="preserve"> INDICA</w:t>
      </w:r>
      <w:r>
        <w:rPr>
          <w:rFonts w:ascii="Calibri" w:hAnsi="Calibri" w:eastAsia="Calibri" w:cs="Calibri"/>
          <w:sz w:val="24"/>
          <w:szCs w:val="24"/>
        </w:rPr>
        <w:t xml:space="preserve"> nos termos regimentais, requerer que seja encaminhada correspondência ao Chefe do Executivo solicitando informações sobre a viabilidade de criar um Polo do Instituto Nacional de Câncer José Alencar Gomes da Silva (I</w:t>
      </w:r>
      <w:r>
        <w:rPr>
          <w:rFonts w:ascii="Calibri" w:hAnsi="Calibri" w:eastAsia="Calibri" w:cs="Calibri"/>
          <w:sz w:val="24"/>
          <w:szCs w:val="24"/>
        </w:rPr>
        <w:t xml:space="preserve">NCA), com sede no endereço Praça da Cruz Vermelha, 23 - Centro, Rio de Janeiro – RJ, no município de Macaé.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 xml:space="preserve">Justificativa</w:t>
      </w:r>
      <w:r>
        <w:rPr>
          <w:rFonts w:ascii="Calibri" w:hAnsi="Calibri" w:eastAsia="Calibri" w:cs="Calibri"/>
          <w:b/>
          <w:bCs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A cidade de Macaé tem registrado um aumento considerável no número de diagnósticos de câncer nos últimos anos. Esse crescimento na demanda por tratamentos e acompanhamento médico, aliado à dificuldade de acesso dos pacientes às unidades de referência local</w:t>
      </w:r>
      <w:r>
        <w:rPr>
          <w:rFonts w:ascii="Calibri" w:hAnsi="Calibri" w:eastAsia="Calibri" w:cs="Calibri"/>
          <w:sz w:val="24"/>
          <w:szCs w:val="24"/>
        </w:rPr>
        <w:t xml:space="preserve">izadas na capital, tem causado grande sofrimento tanto para os pacientes quanto para suas famílias. A distância, os altos custos de deslocamento e as dificuldades logísticas para se deslocar até o Rio de Janeiro representam barreiras significativas para o </w:t>
      </w:r>
      <w:r>
        <w:rPr>
          <w:rFonts w:ascii="Calibri" w:hAnsi="Calibri" w:eastAsia="Calibri" w:cs="Calibri"/>
          <w:sz w:val="24"/>
          <w:szCs w:val="24"/>
        </w:rPr>
        <w:t xml:space="preserve">tratamento adequado, prejudicando, em muitos casos, a adesão ao tratamento.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  <w:t xml:space="preserve">Diante deste cenário, e com o apoio e parceria entre o Governo do Estado do Rio de Janeiro e a Prefeitura Municipal de Macaé, solicitamos a criação de um Polo do Instituto Nacional de Câncer José Alencar Gomes da Silva (INCA) no município de Macaé. O objet</w:t>
      </w:r>
      <w:r>
        <w:rPr>
          <w:rFonts w:ascii="Calibri" w:hAnsi="Calibri" w:eastAsia="Calibri" w:cs="Calibri"/>
          <w:sz w:val="24"/>
          <w:szCs w:val="24"/>
        </w:rPr>
        <w:t xml:space="preserve">ivo é oferecer um atendimento mais acessível e eficiente para os pacientes da região, além de minimizar os impactos causados pela necessidade de deslocamento constante até a capital.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Agradecemos pela atenção e aguardamos uma resposta positiva que viabilize essa importante melhoria na saúde de Macaé e seus municípios vizinhos, promovendo qualidade de vida aos pacientes e acesso a tratamentos especializados.</w:t>
      </w:r>
      <w:r>
        <w:rPr>
          <w:rFonts w:ascii="Calibri" w:hAnsi="Calibri" w:eastAsia="Calibri" w:cs="Calibri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/>
      </w:pPr>
      <w:r>
        <w:rPr>
          <w:rFonts w:ascii="Calibri" w:hAnsi="Calibri" w:eastAsia="Calibri" w:cs="Calibri"/>
          <w:sz w:val="24"/>
          <w:szCs w:val="24"/>
        </w:rPr>
      </w:r>
      <w:r/>
      <w:r/>
    </w:p>
    <w:p>
      <w:pPr>
        <w:pStyle w:val="1055"/>
        <w:pBdr/>
        <w:spacing w:line="360" w:lineRule="auto"/>
        <w:ind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55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Sala das Sessões, 18 de Março de 2025.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5"/>
        <w:pBdr/>
        <w:spacing w:line="360" w:lineRule="auto"/>
        <w:ind/>
        <w:jc w:val="left"/>
        <w:rPr>
          <w:rFonts w:ascii="Calibri" w:hAnsi="Calibri"/>
          <w:b/>
          <w:bCs/>
          <w:highlight w:val="none"/>
        </w:rPr>
      </w:pPr>
      <w:r>
        <w:rPr>
          <w:rFonts w:ascii="Calibri" w:hAnsi="Calibri"/>
          <w:color w:val="808080"/>
        </w:rPr>
        <w:t xml:space="preserve">                                                              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b/>
        </w:rPr>
        <w:t xml:space="preserve">  Filipe Machad</w:t>
      </w:r>
      <w:r>
        <w:rPr>
          <w:rFonts w:ascii="Calibri" w:hAnsi="Calibri"/>
          <w:b/>
        </w:rPr>
        <w:t xml:space="preserve">o</w:t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  <w:color w:val="808080"/>
        </w:rPr>
      </w:r>
    </w:p>
    <w:p>
      <w:pPr>
        <w:pStyle w:val="1055"/>
        <w:pBdr/>
        <w:spacing w:line="360" w:lineRule="auto"/>
        <w:ind/>
        <w:jc w:val="center"/>
        <w:rPr>
          <w:rFonts w:ascii="Calibri" w:hAnsi="Calibri"/>
        </w:rPr>
      </w:pPr>
      <w:r>
        <w:rPr>
          <w:rFonts w:ascii="Calibri" w:hAnsi="Calibri"/>
        </w:rPr>
        <w:t xml:space="preserve">Vereador-autor</w:t>
      </w: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1055"/>
        <w:pBdr/>
        <w:spacing w:line="360" w:lineRule="auto"/>
        <w:ind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: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</w:r>
      <w:r>
        <w:rPr>
          <w:rFonts w:ascii="Calibri" w:hAnsi="Calibri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h="16839" w:orient="portrait" w:w="11907"/>
      <w:pgMar w:top="2835" w:right="1701" w:bottom="1418" w:left="1701" w:header="567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61"/>
      <w:pBdr/>
      <w:spacing/>
      <w:ind/>
      <w:jc w:val="center"/>
      <w:rPr>
        <w:rFonts w:ascii="Verdana" w:hAnsi="Verdana"/>
        <w:sz w:val="16"/>
        <w:szCs w:val="16"/>
      </w:rPr>
    </w:pPr>
    <w:r>
      <w:rPr>
        <w:rStyle w:val="1084"/>
        <w:rFonts w:ascii="Verdana" w:hAnsi="Verdana" w:cs="Arial"/>
        <w:color w:val="202124"/>
        <w:sz w:val="16"/>
        <w:szCs w:val="16"/>
      </w:rPr>
      <w:t xml:space="preserve">Avenida A</w:t>
    </w:r>
    <w:r>
      <w:rPr>
        <w:rStyle w:val="1084"/>
        <w:rFonts w:ascii="Verdana" w:hAnsi="Verdana" w:cs="Arial"/>
        <w:color w:val="202124"/>
        <w:sz w:val="16"/>
        <w:szCs w:val="16"/>
      </w:rPr>
      <w:t xml:space="preserve">ntônio Abreu, 1805. Fazenda Blanchete - Horto - Macaé - RJ.</w:t>
    </w:r>
    <w:r>
      <w:rPr>
        <w:rStyle w:val="1084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1084"/>
        <w:rFonts w:ascii="Verdana" w:hAnsi="Verdana" w:cs="Arial"/>
        <w:color w:val="202124"/>
        <w:sz w:val="16"/>
        <w:szCs w:val="16"/>
      </w:rPr>
      <w:t xml:space="preserve">.</w:t>
    </w:r>
    <w:r>
      <w:rPr>
        <w:rStyle w:val="1084"/>
        <w:rFonts w:ascii="Verdana" w:hAnsi="Verdana" w:cs="Arial"/>
        <w:color w:val="202124"/>
        <w:sz w:val="16"/>
        <w:szCs w:val="16"/>
      </w:rPr>
      <w:t xml:space="preserve">947-570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Telefone: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(22) 2772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</w:rPr>
      <w:t xml:space="preserve">4681</w:t>
    </w:r>
    <w:r>
      <w:rPr>
        <w:rFonts w:ascii="Verdana" w:hAnsi="Verdana"/>
        <w:sz w:val="16"/>
        <w:szCs w:val="16"/>
      </w:rPr>
      <w:t xml:space="preserve">/</w:t>
    </w:r>
    <w:r>
      <w:fldChar w:fldCharType="begin"/>
    </w:r>
    <w:r>
      <w:instrText xml:space="preserve"> HYPERLINK "https://www.google.com/search?q=camara+municipal+de+maca%C3%A9&amp;ei=STS</w:instrText>
    </w:r>
    <w:r>
      <w:instrText xml:space="preserve">AYNrUGfq65OUPyv6k2Aw&amp;oq=camara+municipal+de+maca%C3%A9&amp;gs_lcp=Cgdnd3Mtd2l6EAMyCAgAEMcBEK8BMgIIADICCAAyBggAEBYQHjIGCAAQFhAeMgYIABAWEB4yBggAEBYQHjIGCAAQFhAeMgYIABAWEB4yBggAEBYQHjoHCAAQRxCwAzoICAAQsQMQgwE6CwgAELEDEMcBEKMCOg4IABCxAxCDARDHARCjAjoICC4QsQMQgwE6BA</w:instrText>
    </w:r>
    <w:r>
      <w:instrText xml:space="preserve">gAEEM6BAguEEM6BQgAELEDOgcILhBDEJMCOgIILjoHCC4QsQMQQzoFCC4QsQM6BwgAELEDEEM6CAgAEMcBEKMCOg4IABCxAxCDARDHARCvAVDvkiJY270iYPy-ImgDcAJ4AIABsQKIAdgbkgEIMC4yNS4wLjGYAQCgAQGqAQdnd3Mtd2l6yAECwAEB&amp;sclient=gws-wiz&amp;ved=0ahUKEwiandXuw4_wAhV6HbkGHUo_CcsQ4dUDCA0&amp;uact=5" </w:instrText>
    </w:r>
    <w:r>
      <w:fldChar w:fldCharType="separate"/>
    </w:r>
    <w:r>
      <w:rPr>
        <w:rStyle w:val="1081"/>
        <w:rFonts w:ascii="Verdana" w:hAnsi="Verdana" w:cs="Arial"/>
        <w:color w:val="000000"/>
        <w:sz w:val="16"/>
        <w:szCs w:val="16"/>
        <w:u w:val="none"/>
      </w:rPr>
      <w:t xml:space="preserve">(22) 2796-7800</w:t>
    </w:r>
    <w:r>
      <w:rPr>
        <w:rStyle w:val="1081"/>
        <w:rFonts w:ascii="Verdana" w:hAnsi="Verdana" w:cs="Arial"/>
        <w:color w:val="000000"/>
        <w:sz w:val="16"/>
        <w:szCs w:val="16"/>
        <w:u w:val="none"/>
      </w:rPr>
      <w:fldChar w:fldCharType="end"/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2"/>
      <w:pBdr/>
      <w:spacing/>
      <w:ind/>
      <w:rPr/>
    </w:pPr>
    <w:r/>
    <w:r/>
  </w:p>
  <w:p>
    <w:pPr>
      <w:pStyle w:val="1062"/>
      <w:pBdr/>
      <w:spacing/>
      <w:ind/>
      <w:rPr/>
    </w:pPr>
    <w:r/>
    <w:r/>
  </w:p>
  <w:p>
    <w:pPr>
      <w:pStyle w:val="106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1"/>
      <w:pBdr/>
      <w:tabs>
        <w:tab w:val="left" w:leader="none" w:pos="2160"/>
        <w:tab w:val="center" w:leader="none" w:pos="3519"/>
      </w:tabs>
      <w:spacing/>
      <w:ind/>
      <w:jc w:val="center"/>
      <w:rPr>
        <w:rFonts w:ascii="Verdana" w:hAnsi="Verdana"/>
        <w:b/>
      </w:rPr>
    </w:pPr>
    <w:r>
      <w:rPr>
        <w:rFonts w:ascii="Verdana" w:hAnsi="Verdana"/>
        <w:sz w:val="16"/>
        <w:szCs w:val="1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0074" cy="538886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Imagem Brasão Macaé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0074" cy="538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6.46pt;height:42.4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ESTADO DO RIO DE JANEIRO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1"/>
      <w:pBdr/>
      <w:spacing/>
      <w:ind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CÂMARA MUNICIPAL DE MACAÉ</w:t>
    </w:r>
    <w:r>
      <w:rPr>
        <w:rFonts w:ascii="Verdana" w:hAnsi="Verdana"/>
        <w:b/>
      </w:rPr>
    </w:r>
    <w:r>
      <w:rPr>
        <w:rFonts w:ascii="Verdana" w:hAnsi="Verdana"/>
        <w:b/>
      </w:rPr>
    </w:r>
  </w:p>
  <w:p>
    <w:pPr>
      <w:pStyle w:val="106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Macaé Capital da Energia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61"/>
      <w:pBdr/>
      <w:spacing/>
      <w:ind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Lei Estadual nº 6081 de 21.11.2011</w:t>
    </w:r>
    <w:r>
      <w:rPr>
        <w:rFonts w:ascii="Verdana" w:hAnsi="Verdana"/>
        <w:b/>
        <w:sz w:val="16"/>
        <w:szCs w:val="16"/>
      </w:rPr>
    </w:r>
    <w:r>
      <w:rPr>
        <w:rFonts w:ascii="Verdana" w:hAnsi="Verdana"/>
        <w:b/>
        <w:sz w:val="16"/>
        <w:szCs w:val="16"/>
      </w:rPr>
    </w:r>
  </w:p>
  <w:p>
    <w:pPr>
      <w:pStyle w:val="1061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61"/>
      <w:pBdr/>
      <w:spacing/>
      <w:ind/>
      <w:rPr/>
    </w:pPr>
    <w:r/>
    <w:r/>
  </w:p>
  <w:p>
    <w:pPr>
      <w:pStyle w:val="106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8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4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%1)"/>
      <w:numFmt w:val="lowerLetter"/>
      <w:pPr>
        <w:pBdr/>
        <w:tabs>
          <w:tab w:val="num" w:leader="none" w:pos="-1080"/>
        </w:tabs>
        <w:spacing/>
        <w:ind w:hanging="360" w:left="-108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)"/>
      <w:numFmt w:val="lowerLetter"/>
      <w:pPr>
        <w:pBdr/>
        <w:tabs>
          <w:tab w:val="num" w:leader="none" w:pos="-720"/>
        </w:tabs>
        <w:spacing/>
        <w:ind w:hanging="360" w:left="-720"/>
      </w:pPr>
      <w:rPr/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-"/>
      <w:numFmt w:val="upperRoman"/>
      <w:pPr>
        <w:pBdr/>
        <w:tabs>
          <w:tab w:val="num" w:leader="none" w:pos="1080"/>
        </w:tabs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lowerLetter"/>
      <w:pPr>
        <w:pBdr/>
        <w:tabs>
          <w:tab w:val="num" w:leader="none" w:pos="-360"/>
        </w:tabs>
        <w:spacing/>
        <w:ind w:hanging="360" w:left="-36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080"/>
        </w:tabs>
        <w:spacing/>
        <w:ind w:hanging="180" w:left="10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</w:abstractNum>
  <w:abstractNum w:abstractNumId="22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2"/>
  </w:num>
  <w:num w:numId="16">
    <w:abstractNumId w:val="1"/>
  </w:num>
  <w:num w:numId="17">
    <w:abstractNumId w:val="21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0"/>
  </w:num>
  <w:num w:numId="23">
    <w:abstractNumId w:val="24"/>
  </w:num>
  <w:num w:numId="24">
    <w:abstractNumId w:val="8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Table Grid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Table Grid Light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1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Plain Table 2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Plain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Plain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Plain Table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1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2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4 - Accent 3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4 - Accent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4 - Accent 5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6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5 Dark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Grid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4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4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4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4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5 Dark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st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&amp; 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&amp; 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&amp; 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&amp; 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Bordered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Bordered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Bordered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Bordered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5">
    <w:name w:val="Heading 1"/>
    <w:basedOn w:val="1055"/>
    <w:next w:val="1055"/>
    <w:link w:val="100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96">
    <w:name w:val="Heading 2"/>
    <w:basedOn w:val="1055"/>
    <w:next w:val="1055"/>
    <w:link w:val="100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97">
    <w:name w:val="Heading 3"/>
    <w:basedOn w:val="1055"/>
    <w:next w:val="1055"/>
    <w:link w:val="100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98">
    <w:name w:val="Heading 4"/>
    <w:basedOn w:val="1055"/>
    <w:next w:val="1055"/>
    <w:link w:val="100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9">
    <w:name w:val="Heading 5"/>
    <w:basedOn w:val="1055"/>
    <w:next w:val="1055"/>
    <w:link w:val="101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000">
    <w:name w:val="Heading 6"/>
    <w:basedOn w:val="1055"/>
    <w:next w:val="1055"/>
    <w:link w:val="101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001">
    <w:name w:val="Heading 7"/>
    <w:basedOn w:val="1055"/>
    <w:next w:val="1055"/>
    <w:link w:val="10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002">
    <w:name w:val="Heading 8"/>
    <w:basedOn w:val="1055"/>
    <w:next w:val="1055"/>
    <w:link w:val="10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003">
    <w:name w:val="Heading 9"/>
    <w:basedOn w:val="1055"/>
    <w:next w:val="1055"/>
    <w:link w:val="10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004" w:default="1">
    <w:name w:val="Default Paragraph Font"/>
    <w:uiPriority w:val="1"/>
    <w:semiHidden/>
    <w:unhideWhenUsed/>
    <w:pPr>
      <w:pBdr/>
      <w:spacing/>
      <w:ind/>
    </w:pPr>
  </w:style>
  <w:style w:type="numbering" w:styleId="1005" w:default="1">
    <w:name w:val="No List"/>
    <w:uiPriority w:val="99"/>
    <w:semiHidden/>
    <w:unhideWhenUsed/>
    <w:pPr>
      <w:pBdr/>
      <w:spacing/>
      <w:ind/>
    </w:pPr>
  </w:style>
  <w:style w:type="character" w:styleId="1006">
    <w:name w:val="Heading 1 Char"/>
    <w:basedOn w:val="1004"/>
    <w:link w:val="9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007">
    <w:name w:val="Heading 2 Char"/>
    <w:basedOn w:val="1004"/>
    <w:link w:val="9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008">
    <w:name w:val="Heading 3 Char"/>
    <w:basedOn w:val="1004"/>
    <w:link w:val="9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009">
    <w:name w:val="Heading 4 Char"/>
    <w:basedOn w:val="1004"/>
    <w:link w:val="99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010">
    <w:name w:val="Heading 5 Char"/>
    <w:basedOn w:val="1004"/>
    <w:link w:val="99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11">
    <w:name w:val="Heading 6 Char"/>
    <w:basedOn w:val="1004"/>
    <w:link w:val="100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12">
    <w:name w:val="Heading 7 Char"/>
    <w:basedOn w:val="1004"/>
    <w:link w:val="10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13">
    <w:name w:val="Heading 8 Char"/>
    <w:basedOn w:val="1004"/>
    <w:link w:val="10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14">
    <w:name w:val="Heading 9 Char"/>
    <w:basedOn w:val="1004"/>
    <w:link w:val="10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15">
    <w:name w:val="Title"/>
    <w:basedOn w:val="1055"/>
    <w:next w:val="1055"/>
    <w:link w:val="101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16">
    <w:name w:val="Title Char"/>
    <w:basedOn w:val="1004"/>
    <w:link w:val="10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17">
    <w:name w:val="Subtitle"/>
    <w:basedOn w:val="1055"/>
    <w:next w:val="1055"/>
    <w:link w:val="101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18">
    <w:name w:val="Subtitle Char"/>
    <w:basedOn w:val="1004"/>
    <w:link w:val="101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19">
    <w:name w:val="Quote"/>
    <w:basedOn w:val="1055"/>
    <w:next w:val="1055"/>
    <w:link w:val="102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20">
    <w:name w:val="Quote Char"/>
    <w:basedOn w:val="1004"/>
    <w:link w:val="101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021">
    <w:name w:val="List Paragraph"/>
    <w:basedOn w:val="1055"/>
    <w:uiPriority w:val="34"/>
    <w:qFormat/>
    <w:pPr>
      <w:pBdr/>
      <w:spacing/>
      <w:ind w:left="720"/>
      <w:contextualSpacing w:val="true"/>
    </w:pPr>
  </w:style>
  <w:style w:type="character" w:styleId="1022">
    <w:name w:val="Intense Emphasis"/>
    <w:basedOn w:val="10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023">
    <w:name w:val="Intense Quote"/>
    <w:basedOn w:val="1055"/>
    <w:next w:val="1055"/>
    <w:link w:val="102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024">
    <w:name w:val="Intense Quote Char"/>
    <w:basedOn w:val="1004"/>
    <w:link w:val="102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25">
    <w:name w:val="Intense Reference"/>
    <w:basedOn w:val="10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026">
    <w:name w:val="No Spacing"/>
    <w:basedOn w:val="1055"/>
    <w:uiPriority w:val="1"/>
    <w:qFormat/>
    <w:pPr>
      <w:pBdr/>
      <w:spacing w:after="0" w:line="240" w:lineRule="auto"/>
      <w:ind/>
    </w:pPr>
  </w:style>
  <w:style w:type="character" w:styleId="1027">
    <w:name w:val="Subtle Emphasis"/>
    <w:basedOn w:val="10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28">
    <w:name w:val="Emphasis"/>
    <w:basedOn w:val="1004"/>
    <w:uiPriority w:val="20"/>
    <w:qFormat/>
    <w:pPr>
      <w:pBdr/>
      <w:spacing/>
      <w:ind/>
    </w:pPr>
    <w:rPr>
      <w:i/>
      <w:iCs/>
    </w:rPr>
  </w:style>
  <w:style w:type="character" w:styleId="1029">
    <w:name w:val="Strong"/>
    <w:basedOn w:val="1004"/>
    <w:uiPriority w:val="22"/>
    <w:qFormat/>
    <w:pPr>
      <w:pBdr/>
      <w:spacing/>
      <w:ind/>
    </w:pPr>
    <w:rPr>
      <w:b/>
      <w:bCs/>
    </w:rPr>
  </w:style>
  <w:style w:type="character" w:styleId="1030">
    <w:name w:val="Subtle Reference"/>
    <w:basedOn w:val="10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31">
    <w:name w:val="Book Title"/>
    <w:basedOn w:val="10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032">
    <w:name w:val="Header"/>
    <w:basedOn w:val="1055"/>
    <w:link w:val="10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3">
    <w:name w:val="Header Char"/>
    <w:basedOn w:val="1004"/>
    <w:link w:val="1032"/>
    <w:uiPriority w:val="99"/>
    <w:pPr>
      <w:pBdr/>
      <w:spacing/>
      <w:ind/>
    </w:pPr>
  </w:style>
  <w:style w:type="paragraph" w:styleId="1034">
    <w:name w:val="Footer"/>
    <w:basedOn w:val="1055"/>
    <w:link w:val="103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035">
    <w:name w:val="Footer Char"/>
    <w:basedOn w:val="1004"/>
    <w:link w:val="1034"/>
    <w:uiPriority w:val="99"/>
    <w:pPr>
      <w:pBdr/>
      <w:spacing/>
      <w:ind/>
    </w:pPr>
  </w:style>
  <w:style w:type="paragraph" w:styleId="1036">
    <w:name w:val="Caption"/>
    <w:basedOn w:val="1055"/>
    <w:next w:val="105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037">
    <w:name w:val="footnote text"/>
    <w:basedOn w:val="1055"/>
    <w:link w:val="10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38">
    <w:name w:val="Footnote Text Char"/>
    <w:basedOn w:val="1004"/>
    <w:link w:val="1037"/>
    <w:uiPriority w:val="99"/>
    <w:semiHidden/>
    <w:pPr>
      <w:pBdr/>
      <w:spacing/>
      <w:ind/>
    </w:pPr>
    <w:rPr>
      <w:sz w:val="20"/>
      <w:szCs w:val="20"/>
    </w:rPr>
  </w:style>
  <w:style w:type="character" w:styleId="1039">
    <w:name w:val="footnote reference"/>
    <w:basedOn w:val="1004"/>
    <w:uiPriority w:val="99"/>
    <w:semiHidden/>
    <w:unhideWhenUsed/>
    <w:pPr>
      <w:pBdr/>
      <w:spacing/>
      <w:ind/>
    </w:pPr>
    <w:rPr>
      <w:vertAlign w:val="superscript"/>
    </w:rPr>
  </w:style>
  <w:style w:type="paragraph" w:styleId="1040">
    <w:name w:val="endnote text"/>
    <w:basedOn w:val="1055"/>
    <w:link w:val="10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41">
    <w:name w:val="Endnote Text Char"/>
    <w:basedOn w:val="1004"/>
    <w:link w:val="1040"/>
    <w:uiPriority w:val="99"/>
    <w:semiHidden/>
    <w:pPr>
      <w:pBdr/>
      <w:spacing/>
      <w:ind/>
    </w:pPr>
    <w:rPr>
      <w:sz w:val="20"/>
      <w:szCs w:val="20"/>
    </w:rPr>
  </w:style>
  <w:style w:type="character" w:styleId="1042">
    <w:name w:val="endnote reference"/>
    <w:basedOn w:val="1004"/>
    <w:uiPriority w:val="99"/>
    <w:semiHidden/>
    <w:unhideWhenUsed/>
    <w:pPr>
      <w:pBdr/>
      <w:spacing/>
      <w:ind/>
    </w:pPr>
    <w:rPr>
      <w:vertAlign w:val="superscript"/>
    </w:rPr>
  </w:style>
  <w:style w:type="character" w:styleId="1043">
    <w:name w:val="FollowedHyperlink"/>
    <w:basedOn w:val="10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44">
    <w:name w:val="toc 1"/>
    <w:basedOn w:val="1055"/>
    <w:next w:val="1055"/>
    <w:uiPriority w:val="39"/>
    <w:unhideWhenUsed/>
    <w:pPr>
      <w:pBdr/>
      <w:spacing w:after="100"/>
      <w:ind/>
    </w:pPr>
  </w:style>
  <w:style w:type="paragraph" w:styleId="1045">
    <w:name w:val="toc 2"/>
    <w:basedOn w:val="1055"/>
    <w:next w:val="1055"/>
    <w:uiPriority w:val="39"/>
    <w:unhideWhenUsed/>
    <w:pPr>
      <w:pBdr/>
      <w:spacing w:after="100"/>
      <w:ind w:left="220"/>
    </w:pPr>
  </w:style>
  <w:style w:type="paragraph" w:styleId="1046">
    <w:name w:val="toc 3"/>
    <w:basedOn w:val="1055"/>
    <w:next w:val="1055"/>
    <w:uiPriority w:val="39"/>
    <w:unhideWhenUsed/>
    <w:pPr>
      <w:pBdr/>
      <w:spacing w:after="100"/>
      <w:ind w:left="440"/>
    </w:pPr>
  </w:style>
  <w:style w:type="paragraph" w:styleId="1047">
    <w:name w:val="toc 4"/>
    <w:basedOn w:val="1055"/>
    <w:next w:val="1055"/>
    <w:uiPriority w:val="39"/>
    <w:unhideWhenUsed/>
    <w:pPr>
      <w:pBdr/>
      <w:spacing w:after="100"/>
      <w:ind w:left="660"/>
    </w:pPr>
  </w:style>
  <w:style w:type="paragraph" w:styleId="1048">
    <w:name w:val="toc 5"/>
    <w:basedOn w:val="1055"/>
    <w:next w:val="1055"/>
    <w:uiPriority w:val="39"/>
    <w:unhideWhenUsed/>
    <w:pPr>
      <w:pBdr/>
      <w:spacing w:after="100"/>
      <w:ind w:left="880"/>
    </w:pPr>
  </w:style>
  <w:style w:type="paragraph" w:styleId="1049">
    <w:name w:val="toc 6"/>
    <w:basedOn w:val="1055"/>
    <w:next w:val="1055"/>
    <w:uiPriority w:val="39"/>
    <w:unhideWhenUsed/>
    <w:pPr>
      <w:pBdr/>
      <w:spacing w:after="100"/>
      <w:ind w:left="1100"/>
    </w:pPr>
  </w:style>
  <w:style w:type="paragraph" w:styleId="1050">
    <w:name w:val="toc 7"/>
    <w:basedOn w:val="1055"/>
    <w:next w:val="1055"/>
    <w:uiPriority w:val="39"/>
    <w:unhideWhenUsed/>
    <w:pPr>
      <w:pBdr/>
      <w:spacing w:after="100"/>
      <w:ind w:left="1320"/>
    </w:pPr>
  </w:style>
  <w:style w:type="paragraph" w:styleId="1051">
    <w:name w:val="toc 8"/>
    <w:basedOn w:val="1055"/>
    <w:next w:val="1055"/>
    <w:uiPriority w:val="39"/>
    <w:unhideWhenUsed/>
    <w:pPr>
      <w:pBdr/>
      <w:spacing w:after="100"/>
      <w:ind w:left="1540"/>
    </w:pPr>
  </w:style>
  <w:style w:type="paragraph" w:styleId="1052">
    <w:name w:val="toc 9"/>
    <w:basedOn w:val="1055"/>
    <w:next w:val="1055"/>
    <w:uiPriority w:val="39"/>
    <w:unhideWhenUsed/>
    <w:pPr>
      <w:pBdr/>
      <w:spacing w:after="100"/>
      <w:ind w:left="1760"/>
    </w:pPr>
  </w:style>
  <w:style w:type="paragraph" w:styleId="1053">
    <w:name w:val="TOC Heading"/>
    <w:uiPriority w:val="39"/>
    <w:unhideWhenUsed/>
    <w:pPr>
      <w:pBdr/>
      <w:spacing/>
      <w:ind/>
    </w:pPr>
  </w:style>
  <w:style w:type="paragraph" w:styleId="1054">
    <w:name w:val="table of figures"/>
    <w:basedOn w:val="1055"/>
    <w:next w:val="1055"/>
    <w:uiPriority w:val="99"/>
    <w:unhideWhenUsed/>
    <w:pPr>
      <w:pBdr/>
      <w:spacing w:after="0" w:afterAutospacing="0"/>
      <w:ind/>
    </w:pPr>
  </w:style>
  <w:style w:type="paragraph" w:styleId="1055" w:default="1">
    <w:name w:val="Normal"/>
    <w:next w:val="1055"/>
    <w:link w:val="1055"/>
    <w:qFormat/>
    <w:pPr>
      <w:pBdr/>
      <w:spacing/>
      <w:ind/>
    </w:pPr>
    <w:rPr>
      <w:sz w:val="24"/>
      <w:szCs w:val="24"/>
      <w:lang w:val="pt-BR" w:eastAsia="pt-BR" w:bidi="ar-SA"/>
    </w:rPr>
  </w:style>
  <w:style w:type="paragraph" w:styleId="1056">
    <w:name w:val="Título 1"/>
    <w:basedOn w:val="1055"/>
    <w:next w:val="1055"/>
    <w:link w:val="1055"/>
    <w:qFormat/>
    <w:pPr>
      <w:keepNext w:val="true"/>
      <w:pBdr/>
      <w:spacing/>
      <w:ind/>
      <w:jc w:val="center"/>
      <w:outlineLvl w:val="0"/>
    </w:pPr>
    <w:rPr>
      <w:sz w:val="36"/>
    </w:rPr>
  </w:style>
  <w:style w:type="paragraph" w:styleId="1057">
    <w:name w:val="Título 2"/>
    <w:basedOn w:val="1055"/>
    <w:next w:val="1055"/>
    <w:link w:val="1055"/>
    <w:qFormat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1058">
    <w:name w:val="Fonte parág. padrão"/>
    <w:next w:val="1058"/>
    <w:link w:val="1055"/>
    <w:semiHidden/>
    <w:pPr>
      <w:pBdr/>
      <w:spacing/>
      <w:ind/>
    </w:pPr>
  </w:style>
  <w:style w:type="table" w:styleId="1059">
    <w:name w:val="Tabela normal"/>
    <w:next w:val="1059"/>
    <w:link w:val="105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0">
    <w:name w:val="Sem lista"/>
    <w:next w:val="1060"/>
    <w:link w:val="1055"/>
    <w:semiHidden/>
    <w:pPr>
      <w:pBdr/>
      <w:spacing/>
      <w:ind/>
    </w:pPr>
  </w:style>
  <w:style w:type="paragraph" w:styleId="1061">
    <w:name w:val="Cabeçalho,Cabeçalho superior,Heading 1a"/>
    <w:basedOn w:val="1055"/>
    <w:next w:val="1061"/>
    <w:link w:val="107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sz w:val="20"/>
      <w:szCs w:val="20"/>
    </w:rPr>
  </w:style>
  <w:style w:type="paragraph" w:styleId="1062">
    <w:name w:val="Rodapé"/>
    <w:basedOn w:val="1055"/>
    <w:next w:val="1062"/>
    <w:link w:val="1080"/>
    <w:uiPriority w:val="99"/>
    <w:pPr>
      <w:pBdr/>
      <w:tabs>
        <w:tab w:val="center" w:leader="none" w:pos="4419"/>
        <w:tab w:val="right" w:leader="none" w:pos="8838"/>
      </w:tabs>
      <w:spacing/>
      <w:ind/>
    </w:pPr>
  </w:style>
  <w:style w:type="paragraph" w:styleId="1063">
    <w:name w:val="Corpo de texto"/>
    <w:basedOn w:val="1055"/>
    <w:next w:val="1063"/>
    <w:link w:val="1055"/>
    <w:pPr>
      <w:pBdr/>
      <w:spacing/>
      <w:ind/>
      <w:jc w:val="both"/>
    </w:pPr>
  </w:style>
  <w:style w:type="paragraph" w:styleId="1064">
    <w:name w:val="Recuo de corpo de texto"/>
    <w:basedOn w:val="1055"/>
    <w:next w:val="1064"/>
    <w:link w:val="1055"/>
    <w:pPr>
      <w:pBdr/>
      <w:spacing/>
      <w:ind w:left="3960"/>
    </w:pPr>
  </w:style>
  <w:style w:type="paragraph" w:styleId="1065">
    <w:name w:val="Corpo de texto 2"/>
    <w:basedOn w:val="1055"/>
    <w:next w:val="1065"/>
    <w:link w:val="1055"/>
    <w:pPr>
      <w:pBdr/>
      <w:spacing/>
      <w:ind/>
      <w:jc w:val="both"/>
    </w:pPr>
    <w:rPr>
      <w:rFonts w:ascii="Arial" w:hAnsi="Arial" w:cs="Arial"/>
      <w:b/>
      <w:bCs/>
      <w:sz w:val="28"/>
    </w:rPr>
  </w:style>
  <w:style w:type="paragraph" w:styleId="1066">
    <w:name w:val="p21"/>
    <w:basedOn w:val="1055"/>
    <w:next w:val="1066"/>
    <w:link w:val="1055"/>
    <w:pPr>
      <w:widowControl w:val="false"/>
      <w:pBdr/>
      <w:tabs>
        <w:tab w:val="left" w:leader="none" w:pos="1460"/>
      </w:tabs>
      <w:spacing w:line="240" w:lineRule="atLeast"/>
      <w:ind w:left="20"/>
    </w:pPr>
  </w:style>
  <w:style w:type="paragraph" w:styleId="1067">
    <w:name w:val="Recuo de corpo de texto 2"/>
    <w:basedOn w:val="1055"/>
    <w:next w:val="1067"/>
    <w:link w:val="1055"/>
    <w:pPr>
      <w:pBdr/>
      <w:spacing/>
      <w:ind w:left="540"/>
      <w:jc w:val="both"/>
    </w:pPr>
    <w:rPr>
      <w:rFonts w:ascii="Arial" w:hAnsi="Arial" w:cs="Arial"/>
      <w:b/>
      <w:bCs/>
    </w:rPr>
  </w:style>
  <w:style w:type="paragraph" w:styleId="1068">
    <w:name w:val="Recuo de corpo de texto 3"/>
    <w:basedOn w:val="1055"/>
    <w:next w:val="1068"/>
    <w:link w:val="1055"/>
    <w:pPr>
      <w:pBdr/>
      <w:spacing/>
      <w:ind w:left="720"/>
      <w:jc w:val="both"/>
    </w:pPr>
    <w:rPr>
      <w:rFonts w:ascii="Arial" w:hAnsi="Arial" w:cs="Arial"/>
      <w:b/>
      <w:bCs/>
    </w:rPr>
  </w:style>
  <w:style w:type="paragraph" w:styleId="1069">
    <w:name w:val="Corpo de texto 3"/>
    <w:basedOn w:val="1055"/>
    <w:next w:val="1069"/>
    <w:link w:val="1055"/>
    <w:pPr>
      <w:pBdr/>
      <w:spacing/>
      <w:ind/>
      <w:jc w:val="both"/>
    </w:pPr>
    <w:rPr>
      <w:rFonts w:ascii="Arial" w:hAnsi="Arial" w:cs="Arial"/>
      <w:b/>
      <w:bCs/>
    </w:rPr>
  </w:style>
  <w:style w:type="table" w:styleId="1070">
    <w:name w:val="Tabela com grade"/>
    <w:basedOn w:val="1059"/>
    <w:next w:val="1070"/>
    <w:link w:val="105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71">
    <w:name w:val="Título"/>
    <w:basedOn w:val="1055"/>
    <w:next w:val="1071"/>
    <w:link w:val="1072"/>
    <w:qFormat/>
    <w:pPr>
      <w:pBdr/>
      <w:spacing/>
      <w:ind/>
      <w:jc w:val="center"/>
    </w:pPr>
    <w:rPr>
      <w:b/>
      <w:bCs/>
      <w:sz w:val="28"/>
      <w:szCs w:val="28"/>
    </w:rPr>
  </w:style>
  <w:style w:type="character" w:styleId="1072">
    <w:name w:val="Título Char"/>
    <w:next w:val="1072"/>
    <w:link w:val="1071"/>
    <w:pPr>
      <w:pBdr/>
      <w:spacing/>
      <w:ind/>
    </w:pPr>
    <w:rPr>
      <w:b/>
      <w:bCs/>
      <w:sz w:val="28"/>
      <w:szCs w:val="28"/>
    </w:rPr>
  </w:style>
  <w:style w:type="paragraph" w:styleId="1073">
    <w:name w:val="Texto sem Formatação"/>
    <w:basedOn w:val="1055"/>
    <w:next w:val="1073"/>
    <w:link w:val="1074"/>
    <w:unhideWhenUsed/>
    <w:pPr>
      <w:pBdr/>
      <w:spacing/>
      <w:ind/>
    </w:pPr>
    <w:rPr>
      <w:rFonts w:ascii="Courier New" w:hAnsi="Courier New"/>
      <w:sz w:val="20"/>
      <w:szCs w:val="20"/>
    </w:rPr>
  </w:style>
  <w:style w:type="character" w:styleId="1074">
    <w:name w:val="Texto sem Formatação Char"/>
    <w:next w:val="1074"/>
    <w:link w:val="1073"/>
    <w:pPr>
      <w:pBdr/>
      <w:spacing/>
      <w:ind/>
    </w:pPr>
    <w:rPr>
      <w:rFonts w:ascii="Courier New" w:hAnsi="Courier New"/>
    </w:rPr>
  </w:style>
  <w:style w:type="character" w:styleId="1075">
    <w:name w:val="Cabeçalho Char,Cabeçalho superior Char,Heading 1a Char"/>
    <w:basedOn w:val="1058"/>
    <w:next w:val="1075"/>
    <w:link w:val="1061"/>
    <w:uiPriority w:val="99"/>
    <w:qFormat/>
    <w:pPr>
      <w:pBdr/>
      <w:spacing/>
      <w:ind/>
    </w:pPr>
  </w:style>
  <w:style w:type="paragraph" w:styleId="1076">
    <w:name w:val="Parágrafo da Lista"/>
    <w:basedOn w:val="1055"/>
    <w:next w:val="1076"/>
    <w:link w:val="1055"/>
    <w:uiPriority w:val="34"/>
    <w:qFormat/>
    <w:pPr>
      <w:pBdr/>
      <w:spacing/>
      <w:ind w:left="708"/>
    </w:pPr>
  </w:style>
  <w:style w:type="paragraph" w:styleId="1077">
    <w:name w:val="Normal (Web)"/>
    <w:basedOn w:val="1055"/>
    <w:next w:val="1077"/>
    <w:link w:val="1055"/>
    <w:uiPriority w:val="99"/>
    <w:unhideWhenUsed/>
    <w:pPr>
      <w:pBdr/>
      <w:spacing w:after="100" w:afterAutospacing="1" w:before="100" w:beforeAutospacing="1"/>
      <w:ind/>
    </w:pPr>
  </w:style>
  <w:style w:type="character" w:styleId="1078">
    <w:name w:val="Forte"/>
    <w:next w:val="1078"/>
    <w:link w:val="1055"/>
    <w:uiPriority w:val="22"/>
    <w:qFormat/>
    <w:pPr>
      <w:pBdr/>
      <w:spacing/>
      <w:ind/>
    </w:pPr>
    <w:rPr>
      <w:b/>
      <w:bCs/>
    </w:rPr>
  </w:style>
  <w:style w:type="character" w:styleId="1079">
    <w:name w:val="textojustificado"/>
    <w:basedOn w:val="1058"/>
    <w:next w:val="1079"/>
    <w:link w:val="1055"/>
    <w:pPr>
      <w:pBdr/>
      <w:spacing/>
      <w:ind/>
    </w:pPr>
  </w:style>
  <w:style w:type="character" w:styleId="1080">
    <w:name w:val="Rodapé Char"/>
    <w:next w:val="1080"/>
    <w:link w:val="1062"/>
    <w:uiPriority w:val="99"/>
    <w:pPr>
      <w:pBdr/>
      <w:spacing/>
      <w:ind/>
    </w:pPr>
    <w:rPr>
      <w:sz w:val="24"/>
      <w:szCs w:val="24"/>
    </w:rPr>
  </w:style>
  <w:style w:type="character" w:styleId="1081">
    <w:name w:val="Hyperlink"/>
    <w:next w:val="1081"/>
    <w:link w:val="1055"/>
    <w:uiPriority w:val="99"/>
    <w:unhideWhenUsed/>
    <w:pPr>
      <w:pBdr/>
      <w:spacing/>
      <w:ind/>
    </w:pPr>
    <w:rPr>
      <w:color w:val="0563c1"/>
      <w:u w:val="single"/>
    </w:rPr>
  </w:style>
  <w:style w:type="paragraph" w:styleId="1082">
    <w:name w:val="Texto de balão"/>
    <w:basedOn w:val="1055"/>
    <w:next w:val="1082"/>
    <w:link w:val="1083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3">
    <w:name w:val="Texto de balão Char"/>
    <w:next w:val="1083"/>
    <w:link w:val="1082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4">
    <w:name w:val="lrzxr"/>
    <w:basedOn w:val="1058"/>
    <w:next w:val="1084"/>
    <w:link w:val="105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revision>24</cp:revision>
  <dcterms:created xsi:type="dcterms:W3CDTF">2021-07-15T22:00:00Z</dcterms:created>
  <dcterms:modified xsi:type="dcterms:W3CDTF">2025-03-18T12:25:33Z</dcterms:modified>
  <cp:version>983040</cp:version>
</cp:coreProperties>
</file>