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5F8B0179" w14:textId="3FC16E0A" w:rsidR="00C441C6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7E7740">
        <w:t xml:space="preserve"> </w:t>
      </w:r>
      <w:r w:rsidR="00712D58" w:rsidRPr="00712D58">
        <w:rPr>
          <w:b/>
          <w:bCs/>
        </w:rPr>
        <w:t>a</w:t>
      </w:r>
      <w:r w:rsidR="00712D58">
        <w:rPr>
          <w:b/>
          <w:bCs/>
        </w:rPr>
        <w:t xml:space="preserve"> </w:t>
      </w:r>
      <w:r w:rsidR="005614A7">
        <w:rPr>
          <w:b/>
          <w:bCs/>
        </w:rPr>
        <w:t>m</w:t>
      </w:r>
      <w:r w:rsidR="005614A7" w:rsidRPr="005614A7">
        <w:rPr>
          <w:b/>
          <w:bCs/>
        </w:rPr>
        <w:t>anutenção, desobstrução e limpeza da rede pluvial do bairro Cajueiros</w:t>
      </w:r>
      <w:r w:rsidR="00712D58">
        <w:rPr>
          <w:b/>
          <w:bCs/>
        </w:rPr>
        <w:t>.</w:t>
      </w:r>
    </w:p>
    <w:p w14:paraId="0A949CC2" w14:textId="77777777" w:rsidR="005614A7" w:rsidRPr="006D656D" w:rsidRDefault="005614A7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06E49FD8" w14:textId="154D34A9" w:rsidR="00712D58" w:rsidRPr="00712D58" w:rsidRDefault="00C27441" w:rsidP="00712D58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5614A7" w:rsidRPr="005614A7">
        <w:t xml:space="preserve">A manutenção, desobstrução e limpeza da rede pluvial no bairro Cajueiros são fundamentais para evitar alagamentos e garantir o escoamento adequado das águas pluviais, especialmente durante períodos de chuva intensa. Essa medida contribui para a preservação da infraestrutura urbana, reduzindo danos às vias públicas e prevenindo transtornos para os moradores e comerciantes da </w:t>
      </w:r>
      <w:proofErr w:type="gramStart"/>
      <w:r w:rsidR="005614A7" w:rsidRPr="005614A7">
        <w:t>região.</w:t>
      </w:r>
      <w:r w:rsidR="00712D58" w:rsidRPr="00712D58">
        <w:t>.</w:t>
      </w:r>
      <w:proofErr w:type="gramEnd"/>
    </w:p>
    <w:p w14:paraId="72C4593E" w14:textId="0BD4E7AE" w:rsidR="00C27441" w:rsidRPr="006D656D" w:rsidRDefault="00C27441" w:rsidP="007E774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94F3" w14:textId="77777777" w:rsidR="00190556" w:rsidRDefault="00190556">
      <w:r>
        <w:separator/>
      </w:r>
    </w:p>
  </w:endnote>
  <w:endnote w:type="continuationSeparator" w:id="0">
    <w:p w14:paraId="2017101C" w14:textId="77777777" w:rsidR="00190556" w:rsidRDefault="001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3739" w14:textId="77777777" w:rsidR="00190556" w:rsidRDefault="00190556">
      <w:r>
        <w:separator/>
      </w:r>
    </w:p>
  </w:footnote>
  <w:footnote w:type="continuationSeparator" w:id="0">
    <w:p w14:paraId="231A6983" w14:textId="77777777" w:rsidR="00190556" w:rsidRDefault="0019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9055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17104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0607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56ABC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2025-01-27T17:47:00Z</dcterms:created>
  <dcterms:modified xsi:type="dcterms:W3CDTF">2025-01-27T17:47:00Z</dcterms:modified>
</cp:coreProperties>
</file>