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0E0E" w14:textId="77777777" w:rsidR="00B70471" w:rsidRDefault="00B70471">
      <w:pPr>
        <w:jc w:val="center"/>
        <w:rPr>
          <w:rFonts w:ascii="Calibri" w:eastAsia="Calibri" w:hAnsi="Calibri" w:cs="Calibri"/>
          <w:b/>
        </w:rPr>
      </w:pPr>
    </w:p>
    <w:p w14:paraId="5BF71F8D" w14:textId="77777777" w:rsidR="00B70471" w:rsidRDefault="00B70471">
      <w:pPr>
        <w:jc w:val="center"/>
        <w:rPr>
          <w:rFonts w:ascii="Calibri" w:eastAsia="Calibri" w:hAnsi="Calibri" w:cs="Calibri"/>
          <w:b/>
        </w:rPr>
      </w:pPr>
    </w:p>
    <w:p w14:paraId="328256B7" w14:textId="77777777" w:rsidR="00B70471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t>INDICAÇÃO Nº________/________</w:t>
      </w:r>
    </w:p>
    <w:p w14:paraId="4D4572F0" w14:textId="77777777" w:rsidR="00B70471" w:rsidRDefault="00B70471">
      <w:pPr>
        <w:jc w:val="center"/>
        <w:rPr>
          <w:rFonts w:ascii="Calibri" w:eastAsia="Calibri" w:hAnsi="Calibri" w:cs="Calibri"/>
          <w:b/>
        </w:rPr>
      </w:pPr>
    </w:p>
    <w:p w14:paraId="7C572D76" w14:textId="77777777" w:rsidR="00B70471" w:rsidRDefault="00B70471">
      <w:pPr>
        <w:spacing w:line="360" w:lineRule="auto"/>
        <w:jc w:val="both"/>
        <w:rPr>
          <w:rFonts w:ascii="Calibri" w:eastAsia="Calibri" w:hAnsi="Calibri" w:cs="Calibri"/>
        </w:rPr>
      </w:pPr>
    </w:p>
    <w:p w14:paraId="377804A0" w14:textId="77777777" w:rsidR="00B70471" w:rsidRDefault="00B70471">
      <w:pPr>
        <w:spacing w:line="360" w:lineRule="auto"/>
        <w:jc w:val="both"/>
        <w:rPr>
          <w:rFonts w:ascii="Calibri" w:eastAsia="Calibri" w:hAnsi="Calibri" w:cs="Calibri"/>
        </w:rPr>
      </w:pPr>
    </w:p>
    <w:p w14:paraId="1256323D" w14:textId="77777777" w:rsidR="00B70471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A Vereadora que a presente subscreve, depois de observar as normas regimentais, indica ao Excelentíssimo Senhor Chefe do Poder Executivo Municipal a </w:t>
      </w:r>
      <w:r>
        <w:rPr>
          <w:b/>
        </w:rPr>
        <w:t xml:space="preserve">capina e roçada no loteamento Vale das Palmeiras I, nas ruas que seguem – Rua Newton Santos Carvalho, Rua Fernando Magalhães, Rua Maria do Carmo da Silva Carvalho, Rua Doutor Luiz Gama, Rua </w:t>
      </w:r>
      <w:proofErr w:type="spellStart"/>
      <w:r>
        <w:rPr>
          <w:b/>
        </w:rPr>
        <w:t>Rina</w:t>
      </w:r>
      <w:proofErr w:type="spellEnd"/>
      <w:r>
        <w:rPr>
          <w:b/>
        </w:rPr>
        <w:t xml:space="preserve"> Moreira, Rua José </w:t>
      </w:r>
      <w:proofErr w:type="spellStart"/>
      <w:r>
        <w:rPr>
          <w:b/>
        </w:rPr>
        <w:t>Ramildo</w:t>
      </w:r>
      <w:proofErr w:type="spellEnd"/>
      <w:r>
        <w:rPr>
          <w:b/>
        </w:rPr>
        <w:t xml:space="preserve"> de Moraes, Rua Franco Corredor, Rua Professora Therezinha Carvalho Moreira, Rua </w:t>
      </w:r>
      <w:proofErr w:type="spellStart"/>
      <w:r>
        <w:rPr>
          <w:b/>
        </w:rPr>
        <w:t>Vanderlan</w:t>
      </w:r>
      <w:proofErr w:type="spellEnd"/>
      <w:r>
        <w:rPr>
          <w:b/>
        </w:rPr>
        <w:t xml:space="preserve"> Porto da Cunha, Rua </w:t>
      </w:r>
      <w:proofErr w:type="spellStart"/>
      <w:r>
        <w:rPr>
          <w:b/>
        </w:rPr>
        <w:t>Vantuil</w:t>
      </w:r>
      <w:proofErr w:type="spellEnd"/>
      <w:r>
        <w:rPr>
          <w:b/>
        </w:rPr>
        <w:t xml:space="preserve"> Porto da Cunha e Rua Padre Pedro José Casas.</w:t>
      </w:r>
    </w:p>
    <w:p w14:paraId="0FD205E9" w14:textId="77777777" w:rsidR="00B70471" w:rsidRDefault="00B7047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alibri" w:eastAsia="Calibri" w:hAnsi="Calibri" w:cs="Calibri"/>
          <w:b/>
        </w:rPr>
      </w:pPr>
    </w:p>
    <w:p w14:paraId="07397485" w14:textId="77777777" w:rsidR="00B7047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b/>
          <w:color w:val="000000"/>
        </w:rPr>
        <w:t xml:space="preserve">Justificativa: </w:t>
      </w:r>
      <w:r>
        <w:rPr>
          <w:color w:val="000000"/>
        </w:rPr>
        <w:t>Preservação da limpeza urbana, coibir o despejo de entulhos e o acúmulo de lixo e minimizar a proliferação de insetos e roedores. Essa ação melhora a qualidade de vida dos moradores, reduz riscos à saúde pública e valoriza o ambiente urbano da região.</w:t>
      </w:r>
    </w:p>
    <w:p w14:paraId="4237C09F" w14:textId="77777777" w:rsidR="00B70471" w:rsidRDefault="00B70471">
      <w:pPr>
        <w:spacing w:line="360" w:lineRule="auto"/>
        <w:jc w:val="both"/>
        <w:rPr>
          <w:rFonts w:ascii="Calibri" w:eastAsia="Calibri" w:hAnsi="Calibri" w:cs="Calibri"/>
        </w:rPr>
      </w:pPr>
    </w:p>
    <w:p w14:paraId="6FE57757" w14:textId="77777777" w:rsidR="00B70471" w:rsidRDefault="00B70471">
      <w:pPr>
        <w:spacing w:line="360" w:lineRule="auto"/>
        <w:jc w:val="both"/>
        <w:rPr>
          <w:rFonts w:ascii="Calibri" w:eastAsia="Calibri" w:hAnsi="Calibri" w:cs="Calibri"/>
        </w:rPr>
      </w:pPr>
    </w:p>
    <w:p w14:paraId="51202DCE" w14:textId="77777777" w:rsidR="00B70471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Sala das Sessões, ________de_________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________.</w:t>
      </w:r>
    </w:p>
    <w:p w14:paraId="5A8A1293" w14:textId="77777777" w:rsidR="00B70471" w:rsidRDefault="00B70471">
      <w:pPr>
        <w:spacing w:line="360" w:lineRule="auto"/>
        <w:jc w:val="center"/>
        <w:rPr>
          <w:rFonts w:ascii="Calibri" w:eastAsia="Calibri" w:hAnsi="Calibri" w:cs="Calibri"/>
        </w:rPr>
      </w:pPr>
    </w:p>
    <w:p w14:paraId="7DF769F7" w14:textId="77777777" w:rsidR="00B70471" w:rsidRDefault="00B70471">
      <w:pPr>
        <w:spacing w:line="360" w:lineRule="auto"/>
        <w:jc w:val="center"/>
        <w:rPr>
          <w:rFonts w:ascii="Calibri" w:eastAsia="Calibri" w:hAnsi="Calibri" w:cs="Calibri"/>
        </w:rPr>
      </w:pPr>
    </w:p>
    <w:p w14:paraId="17A91D66" w14:textId="77777777" w:rsidR="00B70471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Manu Rezende</w:t>
      </w:r>
    </w:p>
    <w:p w14:paraId="4DD97E7D" w14:textId="77777777" w:rsidR="00B70471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Vereadora-autora</w:t>
      </w:r>
    </w:p>
    <w:p w14:paraId="2BD6503C" w14:textId="77777777" w:rsidR="00B70471" w:rsidRDefault="00000000">
      <w:pPr>
        <w:tabs>
          <w:tab w:val="left" w:pos="24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B70471">
      <w:headerReference w:type="default" r:id="rId7"/>
      <w:footerReference w:type="default" r:id="rId8"/>
      <w:pgSz w:w="11907" w:h="16839"/>
      <w:pgMar w:top="2835" w:right="1701" w:bottom="1418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2657" w14:textId="77777777" w:rsidR="00C96658" w:rsidRDefault="00C96658">
      <w:r>
        <w:separator/>
      </w:r>
    </w:p>
  </w:endnote>
  <w:endnote w:type="continuationSeparator" w:id="0">
    <w:p w14:paraId="6F75228D" w14:textId="77777777" w:rsidR="00C96658" w:rsidRDefault="00C9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5F9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Palácio do Legislativo Natálio Salvador Antunes</w:t>
    </w:r>
  </w:p>
  <w:p w14:paraId="5F726770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202124"/>
        <w:sz w:val="16"/>
        <w:szCs w:val="16"/>
      </w:rPr>
      <w:t xml:space="preserve">Avenida Antônio Abreu, 1805. Fazenda </w:t>
    </w:r>
    <w:proofErr w:type="spellStart"/>
    <w:r>
      <w:rPr>
        <w:rFonts w:ascii="Verdana" w:eastAsia="Verdana" w:hAnsi="Verdana" w:cs="Verdana"/>
        <w:color w:val="202124"/>
        <w:sz w:val="16"/>
        <w:szCs w:val="16"/>
      </w:rPr>
      <w:t>Blanchete</w:t>
    </w:r>
    <w:proofErr w:type="spellEnd"/>
    <w:r>
      <w:rPr>
        <w:rFonts w:ascii="Verdana" w:eastAsia="Verdana" w:hAnsi="Verdana" w:cs="Verdana"/>
        <w:color w:val="202124"/>
        <w:sz w:val="16"/>
        <w:szCs w:val="16"/>
      </w:rPr>
      <w:t xml:space="preserve"> - Horto - Macaé - RJ. 27.947-570</w:t>
    </w:r>
  </w:p>
  <w:p w14:paraId="42F7268D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Telefone: (22) 2772-4681/</w:t>
    </w:r>
    <w:hyperlink r:id="rId1">
      <w:r>
        <w:rPr>
          <w:rFonts w:ascii="Verdana" w:eastAsia="Verdana" w:hAnsi="Verdana" w:cs="Verdana"/>
          <w:color w:val="000000"/>
          <w:sz w:val="16"/>
          <w:szCs w:val="16"/>
        </w:rPr>
        <w:t>(22) 2796-7800</w:t>
      </w:r>
    </w:hyperlink>
  </w:p>
  <w:p w14:paraId="1E8EDA86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</w:p>
  <w:p w14:paraId="6961FE59" w14:textId="77777777" w:rsidR="00B70471" w:rsidRDefault="00B70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F679AF5" w14:textId="77777777" w:rsidR="00B70471" w:rsidRDefault="00B70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4B0A828" w14:textId="77777777" w:rsidR="00B70471" w:rsidRDefault="00B70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D877" w14:textId="77777777" w:rsidR="00C96658" w:rsidRDefault="00C96658">
      <w:r>
        <w:separator/>
      </w:r>
    </w:p>
  </w:footnote>
  <w:footnote w:type="continuationSeparator" w:id="0">
    <w:p w14:paraId="4C1787BA" w14:textId="77777777" w:rsidR="00C96658" w:rsidRDefault="00C9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790A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60"/>
        <w:tab w:val="center" w:pos="3519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0" distR="0" wp14:anchorId="549DD88F" wp14:editId="4689B8E5">
          <wp:extent cx="590550" cy="5429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B05C2F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77CD51F6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1ACE30DF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da Energia</w:t>
    </w:r>
  </w:p>
  <w:p w14:paraId="7335A111" w14:textId="77777777" w:rsidR="00B70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6B710302" w14:textId="77777777" w:rsidR="00B70471" w:rsidRDefault="00B70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698D4B0D" w14:textId="77777777" w:rsidR="00B70471" w:rsidRDefault="00B70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6C851E24" w14:textId="77777777" w:rsidR="00B70471" w:rsidRDefault="00B70471">
    <w:pPr>
      <w:pBdr>
        <w:top w:val="nil"/>
        <w:left w:val="nil"/>
        <w:bottom w:val="nil"/>
        <w:right w:val="nil"/>
        <w:between w:val="nil"/>
      </w:pBdr>
      <w:ind w:left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1"/>
    <w:rsid w:val="00B70471"/>
    <w:rsid w:val="00C96658"/>
    <w:rsid w:val="00E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689"/>
  <w15:docId w15:val="{189BA810-A653-4296-AEAF-C0EEDB1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9F6821"/>
    <w:pPr>
      <w:jc w:val="center"/>
    </w:pPr>
    <w:rPr>
      <w:b/>
      <w:bCs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9v0sOBfzJdolRegycSlPI7PlA==">CgMxLjA4AHIhMTVMRnkxUXp6N25uM1d2RlROU29UWWNfSk5HWk9UN0gy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 Carvalho Paixão Hemerik</cp:lastModifiedBy>
  <cp:revision>2</cp:revision>
  <dcterms:created xsi:type="dcterms:W3CDTF">2025-01-28T14:42:00Z</dcterms:created>
  <dcterms:modified xsi:type="dcterms:W3CDTF">2025-01-28T14:42:00Z</dcterms:modified>
</cp:coreProperties>
</file>