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vertAlign w:val="baseline"/>
          <w:rtl w:val="0"/>
        </w:rPr>
        <w:t xml:space="preserve">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O Vereador que a presente subscreve, depois de cumpridas as normas regimentais, </w:t>
      </w:r>
      <w:r w:rsidDel="00000000" w:rsidR="00000000" w:rsidRPr="00000000">
        <w:rPr>
          <w:sz w:val="28"/>
          <w:szCs w:val="28"/>
          <w:rtl w:val="0"/>
        </w:rPr>
        <w:t xml:space="preserve">fórmula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DE APLAUSOS </w:t>
      </w:r>
      <w:r w:rsidDel="00000000" w:rsidR="00000000" w:rsidRPr="00000000">
        <w:rPr>
          <w:sz w:val="28"/>
          <w:szCs w:val="28"/>
          <w:rtl w:val="0"/>
        </w:rPr>
        <w:t xml:space="preserve">a cidadã Wanessa Mendonça Reis, nascida em Macaé, Rio de Janeiro, em 28 de junho de 1983 filha de Teresinha De Jesus Mendonça Reis é casada com Ralph Silva Do Rosário, mãe da Lara Reis Rodrigues.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Exerceu o cargo de coordenadora de enfermagem  2010-2014, no Cemaia (centro municipal apoio infância e adolescência), promovendo ações para o bem-estar dos adolescentes/crianças e mantendo a integridade dos mesmos, com consultas médicas/exames/vacinas e também exercia suas funções como enfermeira plantonista da upa do Lagomar onde ficou da inauguração (2012) até (2014).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Atualmente, dedica-se às atividades na coordenação de enfermagem do 192, transporte da saúde e coordenação de eventos de Macaé (2021).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Sua política sempre foi a de exercer seu trabalho da melhor maneira possível, tornando-se um exemplo para os demais servidores públicos.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3420"/>
        </w:tabs>
        <w:jc w:val="center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Câmara Municipal de Macaé, </w:t>
      </w:r>
      <w:r w:rsidDel="00000000" w:rsidR="00000000" w:rsidRPr="00000000">
        <w:rPr>
          <w:sz w:val="28"/>
          <w:szCs w:val="28"/>
          <w:rtl w:val="0"/>
        </w:rPr>
        <w:t xml:space="preserve">18 de abril de 2022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Nilton César Pereira Moreira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sectPr>
      <w:headerReference r:id="rId6" w:type="default"/>
      <w:footerReference r:id="rId7" w:type="default"/>
      <w:pgSz w:h="16839" w:w="11907" w:orient="portrait"/>
      <w:pgMar w:bottom="663" w:top="1418" w:left="1701" w:right="17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567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7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