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jc w:val="both"/>
        <w:rPr/>
      </w:pPr>
      <w:r w:rsidDel="00000000" w:rsidR="00000000" w:rsidRPr="00000000">
        <w:rPr>
          <w:vertAlign w:val="baseline"/>
          <w:rtl w:val="0"/>
        </w:rPr>
        <w:t xml:space="preserve">                        O Vereador que a presente subscreve, depois de cumpridas as normas regimentais, </w:t>
      </w:r>
      <w:r w:rsidDel="00000000" w:rsidR="00000000" w:rsidRPr="00000000">
        <w:rPr>
          <w:rtl w:val="0"/>
        </w:rPr>
        <w:t xml:space="preserve">formula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MOÇÃO DE APLAUSOS </w:t>
      </w:r>
      <w:r w:rsidDel="00000000" w:rsidR="00000000" w:rsidRPr="00000000">
        <w:rPr>
          <w:rtl w:val="0"/>
        </w:rPr>
        <w:t xml:space="preserve">ao prefeito Washington Reis de Oliveira, pelo excelente trabalho e dedicação na política nestes 55 anos de vida.</w:t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3420"/>
        </w:tabs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Câmara Municipal de Macaé, </w:t>
      </w:r>
      <w:r w:rsidDel="00000000" w:rsidR="00000000" w:rsidRPr="00000000">
        <w:rPr>
          <w:rtl w:val="0"/>
        </w:rPr>
        <w:t xml:space="preserve">29 de março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Nilton César Pereira Moreira</w:t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</w:t>
      </w:r>
    </w:p>
    <w:sectPr>
      <w:headerReference r:id="rId6" w:type="default"/>
      <w:footerReference r:id="rId7" w:type="default"/>
      <w:pgSz w:h="16839" w:w="11907" w:orient="portrait"/>
      <w:pgMar w:bottom="663" w:top="1418" w:left="1701" w:right="175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567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567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