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</w:t>
      </w:r>
      <w:r w:rsidDel="00000000" w:rsidR="00000000" w:rsidRPr="00000000">
        <w:rPr>
          <w:b w:val="1"/>
          <w:sz w:val="28"/>
          <w:szCs w:val="28"/>
          <w:rtl w:val="0"/>
        </w:rPr>
        <w:t xml:space="preserve">11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Iracema Alves Costa, coordenadora da Unidade Básica de Saúde Barramares, que na sua gestão triplicou a quantidade de pacientes atendidos, através da humanização, respeito e dedicação à saúde básica da comunidade.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n20MrAOMcMLJZQlLpG6VCr3pig==">AMUW2mUwzQFL1LZsT4cZG4zPuGP0JL+Le7h4AlIPzBNC69mNAoLmb4JxMvJKQLGNuQbKuSBniWI7K4yCyScIH8a1ps9CjbhQcfeja7HONyL0amenciw0ZeM=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