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33FE" w14:textId="77777777" w:rsidR="00EE783F" w:rsidRDefault="003061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EMENDA MODIFICATIVA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Nº  /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2021 AO PROJETO DE LEI Nº 027/2021.</w:t>
      </w:r>
    </w:p>
    <w:p w14:paraId="17E0632E" w14:textId="77777777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6498F44" w14:textId="77777777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F09D5FB" w14:textId="77777777" w:rsidR="00EE783F" w:rsidRDefault="00306128">
      <w:pPr>
        <w:widowControl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MODIFICA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nexo de Metas das Ações de Programas Governamentais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 Projeto de Lei nº 027/2021, que estima o Plano Plurianual do Município de Macaé para o quadriênio 2022-2025.</w:t>
      </w:r>
    </w:p>
    <w:p w14:paraId="5762D373" w14:textId="77777777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556D7BF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9F5C40" w14:textId="1493378B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Câmara Municipal de Macaé, no uso de suas atribuições legais</w:t>
      </w:r>
      <w:r w:rsidR="00985C7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delibera:</w:t>
      </w:r>
    </w:p>
    <w:p w14:paraId="4FA30759" w14:textId="77777777" w:rsidR="00EE783F" w:rsidRDefault="00EE783F">
      <w:pPr>
        <w:widowControl w:val="0"/>
        <w:spacing w:after="0" w:line="240" w:lineRule="auto"/>
        <w:ind w:firstLine="16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5DC42A" w14:textId="4DA34BD6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Art. 1º. </w:t>
      </w:r>
      <w:r>
        <w:rPr>
          <w:rFonts w:ascii="Times New Roman" w:eastAsia="Times New Roman" w:hAnsi="Times New Roman" w:cs="Times New Roman"/>
          <w:sz w:val="24"/>
          <w:szCs w:val="24"/>
        </w:rPr>
        <w:t>Acrescenta-se a Ação “</w:t>
      </w:r>
      <w:r w:rsidR="00985C7A">
        <w:rPr>
          <w:rFonts w:ascii="Times New Roman" w:eastAsia="Times New Roman" w:hAnsi="Times New Roman" w:cs="Times New Roman"/>
          <w:sz w:val="24"/>
          <w:szCs w:val="24"/>
        </w:rPr>
        <w:t>Implementação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manutenção do Conselho Mu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nicipal de </w:t>
      </w:r>
      <w:r w:rsidR="00985C7A">
        <w:rPr>
          <w:rFonts w:ascii="Times New Roman" w:eastAsia="Times New Roman" w:hAnsi="Times New Roman" w:cs="Times New Roman"/>
          <w:sz w:val="24"/>
          <w:szCs w:val="24"/>
        </w:rPr>
        <w:t>Defesa e Proteção da Liberdade Religiosa”</w:t>
      </w:r>
      <w:r>
        <w:rPr>
          <w:rFonts w:ascii="Times New Roman" w:eastAsia="Times New Roman" w:hAnsi="Times New Roman" w:cs="Times New Roman"/>
          <w:sz w:val="24"/>
          <w:szCs w:val="24"/>
        </w:rPr>
        <w:t>, no Programa “</w:t>
      </w:r>
      <w:r w:rsidR="00985C7A" w:rsidRPr="00985C7A">
        <w:rPr>
          <w:rFonts w:ascii="Times New Roman" w:eastAsia="Times New Roman" w:hAnsi="Times New Roman" w:cs="Times New Roman"/>
          <w:sz w:val="24"/>
          <w:szCs w:val="24"/>
        </w:rPr>
        <w:t>POLÍTICAS PÚBLICAS DE PROMOÇÃO A IGUALDADE ÉT</w:t>
      </w:r>
      <w:r w:rsidR="00985C7A">
        <w:rPr>
          <w:rFonts w:ascii="Times New Roman" w:eastAsia="Times New Roman" w:hAnsi="Times New Roman" w:cs="Times New Roman"/>
          <w:sz w:val="24"/>
          <w:szCs w:val="24"/>
        </w:rPr>
        <w:t>NI</w:t>
      </w:r>
      <w:r w:rsidR="00985C7A" w:rsidRPr="00985C7A">
        <w:rPr>
          <w:rFonts w:ascii="Times New Roman" w:eastAsia="Times New Roman" w:hAnsi="Times New Roman" w:cs="Times New Roman"/>
          <w:sz w:val="24"/>
          <w:szCs w:val="24"/>
        </w:rPr>
        <w:t>CO-RACIAL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Anexo de Metas das Ações de Programas Governamentais do Projeto de Lei nº 027/2021, da seguinte forma:</w:t>
      </w:r>
    </w:p>
    <w:p w14:paraId="743B4922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71A14D" w14:textId="77777777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ADITIVA</w:t>
      </w:r>
    </w:p>
    <w:p w14:paraId="1F45DBDE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14:paraId="5610A5C5" w14:textId="77777777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Ação</w:t>
      </w:r>
    </w:p>
    <w:p w14:paraId="57B45367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F07248" w14:textId="353A6D13" w:rsidR="00EE783F" w:rsidRDefault="00985C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Implementação</w:t>
      </w:r>
      <w:r w:rsidR="00306128">
        <w:rPr>
          <w:rFonts w:ascii="Times New Roman" w:eastAsia="Times New Roman" w:hAnsi="Times New Roman" w:cs="Times New Roman"/>
          <w:sz w:val="24"/>
          <w:szCs w:val="24"/>
        </w:rPr>
        <w:t xml:space="preserve"> e manutenção do Conselho Municipal de </w:t>
      </w:r>
      <w:r>
        <w:rPr>
          <w:rFonts w:ascii="Times New Roman" w:eastAsia="Times New Roman" w:hAnsi="Times New Roman" w:cs="Times New Roman"/>
          <w:sz w:val="24"/>
          <w:szCs w:val="24"/>
        </w:rPr>
        <w:t>Defesa e Proteção da Liberdade Religiosa</w:t>
      </w:r>
    </w:p>
    <w:p w14:paraId="125D0229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2895BF" w14:textId="77777777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ama</w:t>
      </w:r>
    </w:p>
    <w:p w14:paraId="5105725D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096895" w14:textId="6BD84D02" w:rsidR="00EE783F" w:rsidRDefault="00985C7A" w:rsidP="00985C7A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58</w:t>
      </w:r>
      <w:r w:rsidR="0030612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985C7A">
        <w:rPr>
          <w:rFonts w:ascii="Times New Roman" w:eastAsia="Times New Roman" w:hAnsi="Times New Roman" w:cs="Times New Roman"/>
          <w:sz w:val="24"/>
          <w:szCs w:val="24"/>
        </w:rPr>
        <w:t>POLÍTICAS PÚBLICAS DE PROMOÇÃO A IGUALDADE ÉT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985C7A">
        <w:rPr>
          <w:rFonts w:ascii="Times New Roman" w:eastAsia="Times New Roman" w:hAnsi="Times New Roman" w:cs="Times New Roman"/>
          <w:sz w:val="24"/>
          <w:szCs w:val="24"/>
        </w:rPr>
        <w:t>CO-RACIAL</w:t>
      </w:r>
    </w:p>
    <w:p w14:paraId="46FDE2DC" w14:textId="77777777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Subfunção</w:t>
      </w:r>
    </w:p>
    <w:p w14:paraId="14F4FDBF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B74A7A" w14:textId="1317CDB1" w:rsidR="00EE783F" w:rsidRDefault="00985C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06128">
        <w:rPr>
          <w:rFonts w:ascii="Times New Roman" w:eastAsia="Times New Roman" w:hAnsi="Times New Roman" w:cs="Times New Roman"/>
          <w:sz w:val="24"/>
          <w:szCs w:val="24"/>
        </w:rPr>
        <w:t xml:space="preserve">22 - </w:t>
      </w:r>
      <w:r w:rsidRPr="00985C7A">
        <w:rPr>
          <w:rFonts w:ascii="Times New Roman" w:eastAsia="Times New Roman" w:hAnsi="Times New Roman" w:cs="Times New Roman"/>
          <w:sz w:val="24"/>
          <w:szCs w:val="24"/>
        </w:rPr>
        <w:t>Direitos Individuais, Coletivos e Difusos</w:t>
      </w:r>
    </w:p>
    <w:p w14:paraId="33B0E5BD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6A5F13" w14:textId="77777777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Função</w:t>
      </w:r>
    </w:p>
    <w:p w14:paraId="1FCE2675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A62614" w14:textId="4053F192" w:rsidR="00EE783F" w:rsidRDefault="00985C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306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06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Assistência Social</w:t>
      </w:r>
    </w:p>
    <w:p w14:paraId="7B0FA35B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nf3tsjs0g5ay" w:colFirst="0" w:colLast="0"/>
      <w:bookmarkEnd w:id="1"/>
    </w:p>
    <w:p w14:paraId="21FACEF3" w14:textId="77777777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eading=h.hmloj1rbg9n8" w:colFirst="0" w:colLast="0"/>
      <w:bookmarkEnd w:id="2"/>
      <w:r>
        <w:rPr>
          <w:rFonts w:ascii="Times New Roman" w:eastAsia="Times New Roman" w:hAnsi="Times New Roman" w:cs="Times New Roman"/>
          <w:b/>
          <w:sz w:val="24"/>
          <w:szCs w:val="24"/>
        </w:rPr>
        <w:t>Unidade Executora</w:t>
      </w:r>
    </w:p>
    <w:p w14:paraId="2DE2018B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CD884B" w14:textId="20C3998C" w:rsidR="00EE783F" w:rsidRDefault="00985C7A" w:rsidP="00985C7A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C7A">
        <w:rPr>
          <w:rFonts w:ascii="Times New Roman" w:eastAsia="Times New Roman" w:hAnsi="Times New Roman" w:cs="Times New Roman"/>
          <w:sz w:val="24"/>
          <w:szCs w:val="24"/>
        </w:rPr>
        <w:t>33.01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985C7A">
        <w:rPr>
          <w:rFonts w:ascii="Times New Roman" w:eastAsia="Times New Roman" w:hAnsi="Times New Roman" w:cs="Times New Roman"/>
          <w:sz w:val="24"/>
          <w:szCs w:val="24"/>
        </w:rPr>
        <w:t xml:space="preserve">Sec. Mun. Desen. Social Dir. Hum </w:t>
      </w:r>
      <w:proofErr w:type="spellStart"/>
      <w:r w:rsidRPr="00985C7A">
        <w:rPr>
          <w:rFonts w:ascii="Times New Roman" w:eastAsia="Times New Roman" w:hAnsi="Times New Roman" w:cs="Times New Roman"/>
          <w:sz w:val="24"/>
          <w:szCs w:val="24"/>
        </w:rPr>
        <w:t>Acessib</w:t>
      </w:r>
      <w:proofErr w:type="spellEnd"/>
    </w:p>
    <w:p w14:paraId="14F26BAF" w14:textId="77777777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Órgão</w:t>
      </w:r>
    </w:p>
    <w:p w14:paraId="3319C229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1FC284" w14:textId="29447DCF" w:rsidR="00EE783F" w:rsidRDefault="00985C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33</w:t>
      </w:r>
      <w:r w:rsidR="0030612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5C7A">
        <w:rPr>
          <w:rFonts w:ascii="Times New Roman" w:eastAsia="Times New Roman" w:hAnsi="Times New Roman" w:cs="Times New Roman"/>
          <w:sz w:val="24"/>
          <w:szCs w:val="24"/>
        </w:rPr>
        <w:t>EC.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C7A">
        <w:rPr>
          <w:rFonts w:ascii="Times New Roman" w:eastAsia="Times New Roman" w:hAnsi="Times New Roman" w:cs="Times New Roman"/>
          <w:sz w:val="24"/>
          <w:szCs w:val="24"/>
        </w:rPr>
        <w:t>MUN.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C7A">
        <w:rPr>
          <w:rFonts w:ascii="Times New Roman" w:eastAsia="Times New Roman" w:hAnsi="Times New Roman" w:cs="Times New Roman"/>
          <w:sz w:val="24"/>
          <w:szCs w:val="24"/>
        </w:rPr>
        <w:t>DESENV.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C7A">
        <w:rPr>
          <w:rFonts w:ascii="Times New Roman" w:eastAsia="Times New Roman" w:hAnsi="Times New Roman" w:cs="Times New Roman"/>
          <w:sz w:val="24"/>
          <w:szCs w:val="24"/>
        </w:rPr>
        <w:t>SOCIAL E DIREITOS HUMANOS</w:t>
      </w:r>
    </w:p>
    <w:p w14:paraId="1476052B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B0F37A" w14:textId="77777777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Valor</w:t>
      </w:r>
    </w:p>
    <w:p w14:paraId="35795348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7CC155" w14:textId="52AC81CD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R$ </w:t>
      </w:r>
      <w:r w:rsidR="00985C7A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.000,00 (</w:t>
      </w:r>
      <w:r w:rsidR="00985C7A">
        <w:rPr>
          <w:rFonts w:ascii="Times New Roman" w:eastAsia="Times New Roman" w:hAnsi="Times New Roman" w:cs="Times New Roman"/>
          <w:sz w:val="24"/>
          <w:szCs w:val="24"/>
        </w:rPr>
        <w:t xml:space="preserve">seis </w:t>
      </w:r>
      <w:r>
        <w:rPr>
          <w:rFonts w:ascii="Times New Roman" w:eastAsia="Times New Roman" w:hAnsi="Times New Roman" w:cs="Times New Roman"/>
          <w:sz w:val="24"/>
          <w:szCs w:val="24"/>
        </w:rPr>
        <w:t>mil reais)</w:t>
      </w:r>
    </w:p>
    <w:p w14:paraId="6F119AFD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73D632" w14:textId="77777777" w:rsidR="00EE783F" w:rsidRDefault="00306128">
      <w:pPr>
        <w:spacing w:before="30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Como deve constar no Anexo: </w:t>
      </w:r>
    </w:p>
    <w:p w14:paraId="23ED006D" w14:textId="77777777" w:rsidR="00EE783F" w:rsidRDefault="00EE783F">
      <w:pPr>
        <w:spacing w:before="30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a"/>
        <w:tblW w:w="112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25"/>
        <w:gridCol w:w="1320"/>
        <w:gridCol w:w="1380"/>
        <w:gridCol w:w="1260"/>
        <w:gridCol w:w="1245"/>
        <w:gridCol w:w="1365"/>
      </w:tblGrid>
      <w:tr w:rsidR="00EE783F" w14:paraId="3BF83739" w14:textId="77777777">
        <w:trPr>
          <w:trHeight w:val="225"/>
          <w:jc w:val="center"/>
        </w:trPr>
        <w:tc>
          <w:tcPr>
            <w:tcW w:w="4725" w:type="dxa"/>
            <w:vMerge w:val="restart"/>
            <w:vAlign w:val="center"/>
          </w:tcPr>
          <w:p w14:paraId="56361B48" w14:textId="77777777" w:rsidR="00EE783F" w:rsidRDefault="00306128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Ação/Programa/Subfunção/Função/Unidade/Órgão</w:t>
            </w:r>
          </w:p>
        </w:tc>
        <w:tc>
          <w:tcPr>
            <w:tcW w:w="6570" w:type="dxa"/>
            <w:gridSpan w:val="5"/>
            <w:vAlign w:val="center"/>
          </w:tcPr>
          <w:p w14:paraId="74C17025" w14:textId="77777777" w:rsidR="00EE783F" w:rsidRDefault="00306128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Valores</w:t>
            </w:r>
          </w:p>
        </w:tc>
      </w:tr>
      <w:tr w:rsidR="00EE783F" w14:paraId="55E472C1" w14:textId="77777777">
        <w:trPr>
          <w:trHeight w:val="224"/>
          <w:jc w:val="center"/>
        </w:trPr>
        <w:tc>
          <w:tcPr>
            <w:tcW w:w="4725" w:type="dxa"/>
            <w:vMerge/>
            <w:vAlign w:val="center"/>
          </w:tcPr>
          <w:p w14:paraId="3C6B623E" w14:textId="77777777" w:rsidR="00EE783F" w:rsidRDefault="00EE7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0" w:type="dxa"/>
          </w:tcPr>
          <w:p w14:paraId="7EA4CADF" w14:textId="77777777" w:rsidR="00EE783F" w:rsidRDefault="00306128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2022</w:t>
            </w:r>
          </w:p>
        </w:tc>
        <w:tc>
          <w:tcPr>
            <w:tcW w:w="1380" w:type="dxa"/>
          </w:tcPr>
          <w:p w14:paraId="1307D1DD" w14:textId="77777777" w:rsidR="00EE783F" w:rsidRDefault="00306128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2023</w:t>
            </w:r>
          </w:p>
        </w:tc>
        <w:tc>
          <w:tcPr>
            <w:tcW w:w="1260" w:type="dxa"/>
          </w:tcPr>
          <w:p w14:paraId="2E0AC0B6" w14:textId="77777777" w:rsidR="00EE783F" w:rsidRDefault="00306128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2024</w:t>
            </w:r>
          </w:p>
        </w:tc>
        <w:tc>
          <w:tcPr>
            <w:tcW w:w="1245" w:type="dxa"/>
          </w:tcPr>
          <w:p w14:paraId="6D8FCD26" w14:textId="77777777" w:rsidR="00EE783F" w:rsidRDefault="00306128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2025</w:t>
            </w:r>
          </w:p>
        </w:tc>
        <w:tc>
          <w:tcPr>
            <w:tcW w:w="1365" w:type="dxa"/>
          </w:tcPr>
          <w:p w14:paraId="40BE0C23" w14:textId="77777777" w:rsidR="00EE783F" w:rsidRDefault="00306128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Total</w:t>
            </w:r>
          </w:p>
        </w:tc>
      </w:tr>
      <w:tr w:rsidR="00EE783F" w14:paraId="612D58E6" w14:textId="77777777">
        <w:trPr>
          <w:trHeight w:val="496"/>
          <w:jc w:val="center"/>
        </w:trPr>
        <w:tc>
          <w:tcPr>
            <w:tcW w:w="4725" w:type="dxa"/>
          </w:tcPr>
          <w:p w14:paraId="3813405D" w14:textId="1BFD13FA" w:rsidR="00EE783F" w:rsidRDefault="00306128">
            <w:pPr>
              <w:spacing w:before="300"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2.XXX – </w:t>
            </w:r>
            <w:r w:rsidR="00985C7A">
              <w:rPr>
                <w:rFonts w:ascii="Arial" w:eastAsia="Arial" w:hAnsi="Arial" w:cs="Arial"/>
                <w:b/>
                <w:sz w:val="16"/>
                <w:szCs w:val="16"/>
              </w:rPr>
              <w:t>Implementação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e manutenção do Conselho Municipal de </w:t>
            </w:r>
            <w:r w:rsidR="00985C7A" w:rsidRPr="00985C7A">
              <w:rPr>
                <w:rFonts w:ascii="Arial" w:eastAsia="Arial" w:hAnsi="Arial" w:cs="Arial"/>
                <w:b/>
                <w:sz w:val="16"/>
                <w:szCs w:val="16"/>
              </w:rPr>
              <w:t>Defesa e Proteção da Liberdade Religiosa</w:t>
            </w:r>
          </w:p>
        </w:tc>
        <w:tc>
          <w:tcPr>
            <w:tcW w:w="1320" w:type="dxa"/>
            <w:vAlign w:val="center"/>
          </w:tcPr>
          <w:p w14:paraId="5598F8FD" w14:textId="77777777" w:rsidR="00EE783F" w:rsidRDefault="00EE783F">
            <w:pPr>
              <w:spacing w:before="30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80" w:type="dxa"/>
            <w:vAlign w:val="center"/>
          </w:tcPr>
          <w:p w14:paraId="6894ED81" w14:textId="77777777" w:rsidR="00EE783F" w:rsidRDefault="00EE783F">
            <w:pPr>
              <w:spacing w:before="300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346867C6" w14:textId="77777777" w:rsidR="00EE783F" w:rsidRDefault="00EE783F">
            <w:pPr>
              <w:spacing w:before="300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461DEB7" w14:textId="77777777" w:rsidR="00EE783F" w:rsidRDefault="00EE783F">
            <w:pPr>
              <w:spacing w:before="300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365" w:type="dxa"/>
            <w:vAlign w:val="center"/>
          </w:tcPr>
          <w:p w14:paraId="59A9C668" w14:textId="77777777" w:rsidR="00EE783F" w:rsidRDefault="00EE783F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EE783F" w14:paraId="11C423DB" w14:textId="77777777">
        <w:trPr>
          <w:trHeight w:val="510"/>
          <w:jc w:val="center"/>
        </w:trPr>
        <w:tc>
          <w:tcPr>
            <w:tcW w:w="4725" w:type="dxa"/>
          </w:tcPr>
          <w:p w14:paraId="23B85695" w14:textId="1569349A" w:rsidR="00EE783F" w:rsidRDefault="00306128">
            <w:pPr>
              <w:spacing w:before="30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 w:rsidR="00985C7A">
              <w:rPr>
                <w:rFonts w:ascii="Arial" w:eastAsia="Arial" w:hAnsi="Arial" w:cs="Arial"/>
                <w:sz w:val="16"/>
                <w:szCs w:val="16"/>
              </w:rPr>
              <w:t>58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</w:t>
            </w:r>
            <w:r w:rsidR="00985C7A" w:rsidRPr="00985C7A">
              <w:rPr>
                <w:rFonts w:ascii="Arial" w:eastAsia="Arial" w:hAnsi="Arial" w:cs="Arial"/>
                <w:sz w:val="16"/>
                <w:szCs w:val="16"/>
              </w:rPr>
              <w:t>POLÍTICAS PÚBLICAS DE PROMOÇÃO A IGUALDADE ÉT</w:t>
            </w:r>
            <w:r w:rsidR="00985C7A">
              <w:rPr>
                <w:rFonts w:ascii="Arial" w:eastAsia="Arial" w:hAnsi="Arial" w:cs="Arial"/>
                <w:sz w:val="16"/>
                <w:szCs w:val="16"/>
              </w:rPr>
              <w:t>NI</w:t>
            </w:r>
            <w:r w:rsidR="00985C7A" w:rsidRPr="00985C7A">
              <w:rPr>
                <w:rFonts w:ascii="Arial" w:eastAsia="Arial" w:hAnsi="Arial" w:cs="Arial"/>
                <w:sz w:val="16"/>
                <w:szCs w:val="16"/>
              </w:rPr>
              <w:t>CO-RACIAL</w:t>
            </w:r>
          </w:p>
        </w:tc>
        <w:tc>
          <w:tcPr>
            <w:tcW w:w="1320" w:type="dxa"/>
            <w:vAlign w:val="center"/>
          </w:tcPr>
          <w:p w14:paraId="71DE6299" w14:textId="77777777" w:rsidR="00EE783F" w:rsidRDefault="00EE783F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80" w:type="dxa"/>
            <w:vAlign w:val="center"/>
          </w:tcPr>
          <w:p w14:paraId="7B798AEE" w14:textId="77777777" w:rsidR="00EE783F" w:rsidRDefault="00EE783F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00D3B657" w14:textId="77777777" w:rsidR="00EE783F" w:rsidRDefault="00EE783F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506CE0B" w14:textId="77777777" w:rsidR="00EE783F" w:rsidRDefault="00EE783F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65" w:type="dxa"/>
            <w:vAlign w:val="center"/>
          </w:tcPr>
          <w:p w14:paraId="011B5CCF" w14:textId="77777777" w:rsidR="00EE783F" w:rsidRDefault="00EE783F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EE783F" w14:paraId="117D428C" w14:textId="77777777">
        <w:trPr>
          <w:trHeight w:val="496"/>
          <w:jc w:val="center"/>
        </w:trPr>
        <w:tc>
          <w:tcPr>
            <w:tcW w:w="4725" w:type="dxa"/>
          </w:tcPr>
          <w:p w14:paraId="2CA033F2" w14:textId="5027716F" w:rsidR="00EE783F" w:rsidRDefault="00306128">
            <w:pPr>
              <w:spacing w:before="30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</w:t>
            </w:r>
            <w:r w:rsidR="00985C7A">
              <w:rPr>
                <w:rFonts w:ascii="Arial" w:eastAsia="Arial" w:hAnsi="Arial" w:cs="Arial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22 – </w:t>
            </w:r>
            <w:r w:rsidR="00985C7A">
              <w:rPr>
                <w:rFonts w:ascii="Arial" w:eastAsia="Arial" w:hAnsi="Arial" w:cs="Arial"/>
                <w:sz w:val="16"/>
                <w:szCs w:val="16"/>
              </w:rPr>
              <w:t>Direitos Individuais, Coletivos e Difusos</w:t>
            </w:r>
          </w:p>
        </w:tc>
        <w:tc>
          <w:tcPr>
            <w:tcW w:w="1320" w:type="dxa"/>
            <w:vAlign w:val="center"/>
          </w:tcPr>
          <w:p w14:paraId="18F5906A" w14:textId="77777777" w:rsidR="00EE783F" w:rsidRDefault="00EE783F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80" w:type="dxa"/>
            <w:vAlign w:val="center"/>
          </w:tcPr>
          <w:p w14:paraId="1FB1E4E6" w14:textId="77777777" w:rsidR="00EE783F" w:rsidRDefault="00EE783F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06A71819" w14:textId="77777777" w:rsidR="00EE783F" w:rsidRDefault="00EE783F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3542C51" w14:textId="77777777" w:rsidR="00EE783F" w:rsidRDefault="00EE783F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65" w:type="dxa"/>
            <w:vAlign w:val="center"/>
          </w:tcPr>
          <w:p w14:paraId="5F350E95" w14:textId="77777777" w:rsidR="00EE783F" w:rsidRDefault="00EE783F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EE783F" w14:paraId="04992D4F" w14:textId="77777777">
        <w:trPr>
          <w:trHeight w:val="496"/>
          <w:jc w:val="center"/>
        </w:trPr>
        <w:tc>
          <w:tcPr>
            <w:tcW w:w="4725" w:type="dxa"/>
          </w:tcPr>
          <w:p w14:paraId="0D6EB53A" w14:textId="34663EA0" w:rsidR="00EE783F" w:rsidRDefault="00306128">
            <w:pPr>
              <w:spacing w:before="30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</w:t>
            </w:r>
            <w:r w:rsidR="00985C7A">
              <w:rPr>
                <w:rFonts w:ascii="Arial" w:eastAsia="Arial" w:hAnsi="Arial" w:cs="Arial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</w:t>
            </w:r>
            <w:r w:rsidR="00985C7A">
              <w:rPr>
                <w:rFonts w:ascii="Arial" w:eastAsia="Arial" w:hAnsi="Arial" w:cs="Arial"/>
                <w:sz w:val="16"/>
                <w:szCs w:val="16"/>
              </w:rPr>
              <w:t>Assistência Social</w:t>
            </w:r>
          </w:p>
        </w:tc>
        <w:tc>
          <w:tcPr>
            <w:tcW w:w="1320" w:type="dxa"/>
            <w:vAlign w:val="center"/>
          </w:tcPr>
          <w:p w14:paraId="6B2B26AB" w14:textId="77777777" w:rsidR="00EE783F" w:rsidRDefault="00EE783F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80" w:type="dxa"/>
            <w:vAlign w:val="center"/>
          </w:tcPr>
          <w:p w14:paraId="71775B97" w14:textId="77777777" w:rsidR="00EE783F" w:rsidRDefault="00EE783F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0B01983C" w14:textId="77777777" w:rsidR="00EE783F" w:rsidRDefault="00EE783F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739EA52" w14:textId="77777777" w:rsidR="00EE783F" w:rsidRDefault="00EE783F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65" w:type="dxa"/>
            <w:vAlign w:val="center"/>
          </w:tcPr>
          <w:p w14:paraId="63DF324A" w14:textId="77777777" w:rsidR="00EE783F" w:rsidRDefault="00EE783F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EE783F" w14:paraId="1CB74446" w14:textId="77777777">
        <w:trPr>
          <w:trHeight w:val="496"/>
          <w:jc w:val="center"/>
        </w:trPr>
        <w:tc>
          <w:tcPr>
            <w:tcW w:w="4725" w:type="dxa"/>
          </w:tcPr>
          <w:p w14:paraId="036BDCCF" w14:textId="2A3F575D" w:rsidR="00EE783F" w:rsidRDefault="00985C7A">
            <w:pPr>
              <w:spacing w:before="30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985C7A">
              <w:rPr>
                <w:rFonts w:ascii="Arial" w:eastAsia="Arial" w:hAnsi="Arial" w:cs="Arial"/>
                <w:sz w:val="16"/>
                <w:szCs w:val="16"/>
              </w:rPr>
              <w:t xml:space="preserve">33.01 – Sec. Mun. Desen. Social Dir. Hum </w:t>
            </w:r>
            <w:proofErr w:type="spellStart"/>
            <w:r w:rsidRPr="00985C7A">
              <w:rPr>
                <w:rFonts w:ascii="Arial" w:eastAsia="Arial" w:hAnsi="Arial" w:cs="Arial"/>
                <w:sz w:val="16"/>
                <w:szCs w:val="16"/>
              </w:rPr>
              <w:t>Acessib</w:t>
            </w:r>
            <w:proofErr w:type="spellEnd"/>
          </w:p>
        </w:tc>
        <w:tc>
          <w:tcPr>
            <w:tcW w:w="1320" w:type="dxa"/>
            <w:vAlign w:val="center"/>
          </w:tcPr>
          <w:p w14:paraId="5C02B203" w14:textId="77777777" w:rsidR="00EE783F" w:rsidRDefault="00EE783F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80" w:type="dxa"/>
            <w:vAlign w:val="center"/>
          </w:tcPr>
          <w:p w14:paraId="6E73FB7F" w14:textId="77777777" w:rsidR="00EE783F" w:rsidRDefault="00EE783F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7284323E" w14:textId="77777777" w:rsidR="00EE783F" w:rsidRDefault="00EE783F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4885F25" w14:textId="77777777" w:rsidR="00EE783F" w:rsidRDefault="00EE783F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65" w:type="dxa"/>
            <w:vAlign w:val="center"/>
          </w:tcPr>
          <w:p w14:paraId="0EB6FA91" w14:textId="77777777" w:rsidR="00EE783F" w:rsidRDefault="00EE783F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EE783F" w14:paraId="26383A57" w14:textId="77777777">
        <w:trPr>
          <w:trHeight w:val="476"/>
          <w:jc w:val="center"/>
        </w:trPr>
        <w:tc>
          <w:tcPr>
            <w:tcW w:w="4725" w:type="dxa"/>
          </w:tcPr>
          <w:p w14:paraId="3DC302BA" w14:textId="6BB78F0B" w:rsidR="00EE783F" w:rsidRDefault="00306128">
            <w:pPr>
              <w:spacing w:before="30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</w:t>
            </w:r>
            <w:r w:rsidR="00985C7A" w:rsidRPr="00985C7A">
              <w:rPr>
                <w:rFonts w:ascii="Arial" w:eastAsia="Arial" w:hAnsi="Arial" w:cs="Arial"/>
                <w:sz w:val="16"/>
                <w:szCs w:val="16"/>
              </w:rPr>
              <w:t>33 - SEC. MUN. DESENV. SOCIAL E DIREITOS HUMANOS</w:t>
            </w:r>
          </w:p>
        </w:tc>
        <w:tc>
          <w:tcPr>
            <w:tcW w:w="1320" w:type="dxa"/>
            <w:vAlign w:val="center"/>
          </w:tcPr>
          <w:p w14:paraId="7D4C767A" w14:textId="285C6D2E" w:rsidR="00EE783F" w:rsidRDefault="00306128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R$</w:t>
            </w:r>
            <w:r w:rsidR="00985C7A"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00,00</w:t>
            </w:r>
          </w:p>
        </w:tc>
        <w:tc>
          <w:tcPr>
            <w:tcW w:w="1380" w:type="dxa"/>
            <w:vAlign w:val="center"/>
          </w:tcPr>
          <w:p w14:paraId="796A2F83" w14:textId="1A746011" w:rsidR="00EE783F" w:rsidRDefault="00306128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R$</w:t>
            </w:r>
            <w:r w:rsidR="00985C7A"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00,00</w:t>
            </w:r>
          </w:p>
        </w:tc>
        <w:tc>
          <w:tcPr>
            <w:tcW w:w="1260" w:type="dxa"/>
            <w:vAlign w:val="center"/>
          </w:tcPr>
          <w:p w14:paraId="79ADA4E7" w14:textId="128B62A4" w:rsidR="00EE783F" w:rsidRDefault="00306128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R$</w:t>
            </w:r>
            <w:r w:rsidR="00985C7A"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00,00</w:t>
            </w:r>
          </w:p>
        </w:tc>
        <w:tc>
          <w:tcPr>
            <w:tcW w:w="1245" w:type="dxa"/>
            <w:vAlign w:val="center"/>
          </w:tcPr>
          <w:p w14:paraId="159C3CEA" w14:textId="3F769275" w:rsidR="00EE783F" w:rsidRDefault="00306128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R$</w:t>
            </w:r>
            <w:r w:rsidR="00985C7A"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00,00</w:t>
            </w:r>
          </w:p>
        </w:tc>
        <w:tc>
          <w:tcPr>
            <w:tcW w:w="1365" w:type="dxa"/>
            <w:vAlign w:val="center"/>
          </w:tcPr>
          <w:p w14:paraId="25D98E63" w14:textId="18FCCB72" w:rsidR="00EE783F" w:rsidRDefault="00306128">
            <w:pPr>
              <w:spacing w:before="300"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R$</w:t>
            </w:r>
            <w:r w:rsidR="00985C7A"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.000,00</w:t>
            </w:r>
          </w:p>
        </w:tc>
      </w:tr>
    </w:tbl>
    <w:p w14:paraId="5622F54B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292859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FD999A" w14:textId="77777777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ANULAÇÃO PARCIAL</w:t>
      </w:r>
    </w:p>
    <w:p w14:paraId="72FA766B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9DE009" w14:textId="77777777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Ação</w:t>
      </w:r>
    </w:p>
    <w:p w14:paraId="7CA861CD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BCFFF0" w14:textId="44B599D5" w:rsidR="00EE783F" w:rsidRDefault="00985C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C7A">
        <w:rPr>
          <w:rFonts w:ascii="Times New Roman" w:eastAsia="Times New Roman" w:hAnsi="Times New Roman" w:cs="Times New Roman"/>
          <w:sz w:val="24"/>
          <w:szCs w:val="24"/>
        </w:rPr>
        <w:t>2.057.000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C7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88492685"/>
      <w:r w:rsidRPr="00985C7A">
        <w:rPr>
          <w:rFonts w:ascii="Times New Roman" w:eastAsia="Times New Roman" w:hAnsi="Times New Roman" w:cs="Times New Roman"/>
          <w:sz w:val="24"/>
          <w:szCs w:val="24"/>
        </w:rPr>
        <w:t>CRIAÇÃO E MANUTENÇÃO DO CONSELHO MUNICIPAL LGBTI+</w:t>
      </w:r>
      <w:bookmarkEnd w:id="3"/>
    </w:p>
    <w:p w14:paraId="07B38DCE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53D5BB" w14:textId="77777777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</w:t>
      </w:r>
    </w:p>
    <w:p w14:paraId="413B1BC2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064059" w14:textId="70405803" w:rsidR="00EE783F" w:rsidRDefault="00985C7A" w:rsidP="00985C7A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C7A">
        <w:rPr>
          <w:rFonts w:ascii="Times New Roman" w:eastAsia="Times New Roman" w:hAnsi="Times New Roman" w:cs="Times New Roman"/>
          <w:sz w:val="24"/>
          <w:szCs w:val="24"/>
        </w:rPr>
        <w:t>57-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C7A">
        <w:rPr>
          <w:rFonts w:ascii="Times New Roman" w:eastAsia="Times New Roman" w:hAnsi="Times New Roman" w:cs="Times New Roman"/>
          <w:sz w:val="24"/>
          <w:szCs w:val="24"/>
        </w:rPr>
        <w:t>POLÍTICAS PÚBLICAS DE INCLUSÃO, PROMOÇÃO E DEFESA DA POPULAÇÃO LGBTI+</w:t>
      </w:r>
    </w:p>
    <w:p w14:paraId="34DF6B4D" w14:textId="77777777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Subfunção</w:t>
      </w:r>
    </w:p>
    <w:p w14:paraId="7A24420F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106F48" w14:textId="439B396D" w:rsidR="00EE783F" w:rsidRDefault="00985C7A" w:rsidP="00985C7A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C7A">
        <w:rPr>
          <w:rFonts w:ascii="Times New Roman" w:eastAsia="Times New Roman" w:hAnsi="Times New Roman" w:cs="Times New Roman"/>
          <w:sz w:val="24"/>
          <w:szCs w:val="24"/>
        </w:rPr>
        <w:t>422-Direitos Individuais, Coletivos e Difusos</w:t>
      </w:r>
    </w:p>
    <w:p w14:paraId="34F6F286" w14:textId="77777777" w:rsidR="00985C7A" w:rsidRDefault="00985C7A" w:rsidP="00985C7A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89E7A3" w14:textId="77777777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Função</w:t>
      </w:r>
    </w:p>
    <w:p w14:paraId="6E8820D1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E70D04" w14:textId="588F2BA2" w:rsidR="00EE783F" w:rsidRDefault="00985C7A" w:rsidP="00985C7A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C7A">
        <w:rPr>
          <w:rFonts w:ascii="Times New Roman" w:eastAsia="Times New Roman" w:hAnsi="Times New Roman" w:cs="Times New Roman"/>
          <w:sz w:val="24"/>
          <w:szCs w:val="24"/>
        </w:rPr>
        <w:t>8-Assistência Social</w:t>
      </w:r>
    </w:p>
    <w:p w14:paraId="58EB1750" w14:textId="77777777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nidade Executora</w:t>
      </w:r>
    </w:p>
    <w:p w14:paraId="4DEA2F21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B8F84B" w14:textId="0F5FED39" w:rsidR="00EE783F" w:rsidRDefault="00985C7A" w:rsidP="00985C7A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5C7A">
        <w:rPr>
          <w:rFonts w:ascii="Times New Roman" w:eastAsia="Times New Roman" w:hAnsi="Times New Roman" w:cs="Times New Roman"/>
          <w:sz w:val="24"/>
          <w:szCs w:val="24"/>
        </w:rPr>
        <w:t>33.01-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C7A">
        <w:rPr>
          <w:rFonts w:ascii="Times New Roman" w:eastAsia="Times New Roman" w:hAnsi="Times New Roman" w:cs="Times New Roman"/>
          <w:sz w:val="24"/>
          <w:szCs w:val="24"/>
        </w:rPr>
        <w:t xml:space="preserve">Sec. Mun. Desen. Social Dir. Hum </w:t>
      </w:r>
      <w:proofErr w:type="spellStart"/>
      <w:r w:rsidRPr="00985C7A">
        <w:rPr>
          <w:rFonts w:ascii="Times New Roman" w:eastAsia="Times New Roman" w:hAnsi="Times New Roman" w:cs="Times New Roman"/>
          <w:sz w:val="24"/>
          <w:szCs w:val="24"/>
        </w:rPr>
        <w:t>Acessib</w:t>
      </w:r>
      <w:proofErr w:type="spellEnd"/>
    </w:p>
    <w:p w14:paraId="4E1A159C" w14:textId="77777777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Órgão</w:t>
      </w:r>
    </w:p>
    <w:p w14:paraId="59BBDCA2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40D217" w14:textId="501B79D1" w:rsidR="00EE783F" w:rsidRDefault="00985C7A" w:rsidP="00985C7A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5C7A">
        <w:rPr>
          <w:rFonts w:ascii="Times New Roman" w:eastAsia="Times New Roman" w:hAnsi="Times New Roman" w:cs="Times New Roman"/>
          <w:sz w:val="24"/>
          <w:szCs w:val="24"/>
        </w:rPr>
        <w:t>33-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C7A">
        <w:rPr>
          <w:rFonts w:ascii="Times New Roman" w:eastAsia="Times New Roman" w:hAnsi="Times New Roman" w:cs="Times New Roman"/>
          <w:sz w:val="24"/>
          <w:szCs w:val="24"/>
        </w:rPr>
        <w:t>SEC.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C7A">
        <w:rPr>
          <w:rFonts w:ascii="Times New Roman" w:eastAsia="Times New Roman" w:hAnsi="Times New Roman" w:cs="Times New Roman"/>
          <w:sz w:val="24"/>
          <w:szCs w:val="24"/>
        </w:rPr>
        <w:t>MUN.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C7A">
        <w:rPr>
          <w:rFonts w:ascii="Times New Roman" w:eastAsia="Times New Roman" w:hAnsi="Times New Roman" w:cs="Times New Roman"/>
          <w:sz w:val="24"/>
          <w:szCs w:val="24"/>
        </w:rPr>
        <w:t>DESENV.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5C7A">
        <w:rPr>
          <w:rFonts w:ascii="Times New Roman" w:eastAsia="Times New Roman" w:hAnsi="Times New Roman" w:cs="Times New Roman"/>
          <w:sz w:val="24"/>
          <w:szCs w:val="24"/>
        </w:rPr>
        <w:t>SOCIAL E DIREITOS HUMANOS</w:t>
      </w:r>
    </w:p>
    <w:p w14:paraId="1CC89034" w14:textId="77777777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Valor </w:t>
      </w:r>
    </w:p>
    <w:p w14:paraId="5550D82E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824CE2" w14:textId="77875AB3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R$ </w:t>
      </w:r>
      <w:r w:rsidR="00985C7A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.000,00</w:t>
      </w:r>
    </w:p>
    <w:p w14:paraId="36CC2A5B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81BDFF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62D0C6" w14:textId="77777777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Valores antes da anulação:</w:t>
      </w:r>
    </w:p>
    <w:p w14:paraId="5EF046C5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8864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1790"/>
        <w:gridCol w:w="1494"/>
        <w:gridCol w:w="1800"/>
        <w:gridCol w:w="2224"/>
      </w:tblGrid>
      <w:tr w:rsidR="00EE783F" w14:paraId="6F4879E9" w14:textId="77777777">
        <w:tc>
          <w:tcPr>
            <w:tcW w:w="8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7E3BC" w14:textId="77777777" w:rsidR="00EE783F" w:rsidRDefault="0030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CUSTO FINANCEIRO POR EXERCÍCIO</w:t>
            </w:r>
          </w:p>
        </w:tc>
      </w:tr>
      <w:tr w:rsidR="00EE783F" w14:paraId="30E74164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9DEF3" w14:textId="77777777" w:rsidR="00EE783F" w:rsidRDefault="0030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6ADB22" w14:textId="77777777" w:rsidR="00EE783F" w:rsidRDefault="0030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56C6F" w14:textId="77777777" w:rsidR="00EE783F" w:rsidRDefault="0030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FDCA4B" w14:textId="77777777" w:rsidR="00EE783F" w:rsidRDefault="0030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695A1" w14:textId="77777777" w:rsidR="00EE783F" w:rsidRDefault="0030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EE783F" w14:paraId="186A41EA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4757E" w14:textId="0B6BB4BC" w:rsidR="00EE783F" w:rsidRDefault="00985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306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306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C2649" w14:textId="7B5CDBB7" w:rsidR="00EE783F" w:rsidRDefault="00985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306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06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58B3F" w14:textId="26785D7B" w:rsidR="00EE783F" w:rsidRDefault="00985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306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06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BC9BA" w14:textId="437B4748" w:rsidR="00EE783F" w:rsidRDefault="00985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306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06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6B63D" w14:textId="26C7E54F" w:rsidR="00EE783F" w:rsidRDefault="00985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</w:t>
            </w:r>
            <w:r w:rsidR="00306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306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</w:tbl>
    <w:p w14:paraId="3F6F7C4F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30j0zll" w:colFirst="0" w:colLast="0"/>
      <w:bookmarkEnd w:id="4"/>
    </w:p>
    <w:p w14:paraId="3300B56C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o44jx3scz8k4" w:colFirst="0" w:colLast="0"/>
      <w:bookmarkEnd w:id="5"/>
    </w:p>
    <w:p w14:paraId="3D3CB817" w14:textId="77777777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eading=h.w2axhm47sal0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Valores após a anulação:</w:t>
      </w:r>
    </w:p>
    <w:p w14:paraId="5D6F2B9C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c"/>
        <w:tblW w:w="8864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1790"/>
        <w:gridCol w:w="1494"/>
        <w:gridCol w:w="1800"/>
        <w:gridCol w:w="2224"/>
      </w:tblGrid>
      <w:tr w:rsidR="00EE783F" w14:paraId="6059D54E" w14:textId="77777777">
        <w:tc>
          <w:tcPr>
            <w:tcW w:w="8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8F709" w14:textId="77777777" w:rsidR="00EE783F" w:rsidRDefault="0030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CUSTO FINANCEIRO POR EXERCÍCIO</w:t>
            </w:r>
          </w:p>
        </w:tc>
      </w:tr>
      <w:tr w:rsidR="00EE783F" w14:paraId="7BA8A026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904A6" w14:textId="77777777" w:rsidR="00EE783F" w:rsidRDefault="0030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4430C" w14:textId="77777777" w:rsidR="00EE783F" w:rsidRDefault="0030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D0F2E" w14:textId="77777777" w:rsidR="00EE783F" w:rsidRDefault="0030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C403C" w14:textId="77777777" w:rsidR="00EE783F" w:rsidRDefault="0030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D9268C" w14:textId="77777777" w:rsidR="00EE783F" w:rsidRDefault="0030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TOTAL </w:t>
            </w:r>
          </w:p>
        </w:tc>
      </w:tr>
      <w:tr w:rsidR="00EE783F" w14:paraId="15B9D67A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14C319" w14:textId="3FEBA81E" w:rsidR="00EE783F" w:rsidRDefault="00985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306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306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306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3061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D6223" w14:textId="70023E01" w:rsidR="00EE783F" w:rsidRDefault="00985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306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306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  <w:r w:rsidR="003061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FA9A35" w14:textId="2869E2FF" w:rsidR="00EE783F" w:rsidRDefault="00306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  <w:r w:rsidR="00985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A8D4B" w14:textId="2FB4D6D3" w:rsidR="00EE783F" w:rsidRDefault="00985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306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306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  <w:r w:rsidR="003061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B25E7" w14:textId="10229F5E" w:rsidR="00EE783F" w:rsidRDefault="00985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  <w:r w:rsidR="00306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3061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</w:tbl>
    <w:p w14:paraId="1565CBB5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4499DE" w14:textId="77777777" w:rsidR="00EE783F" w:rsidRDefault="00EE7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CFE5EA" w14:textId="77777777" w:rsidR="00EE783F" w:rsidRDefault="00306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 emenda passa a incorporar o Anexo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Metas das Ações de Programas Governamentais do Projeto de Lei nº 027/2021</w:t>
      </w:r>
      <w:r>
        <w:rPr>
          <w:rFonts w:ascii="Times New Roman" w:eastAsia="Times New Roman" w:hAnsi="Times New Roman" w:cs="Times New Roman"/>
          <w:sz w:val="24"/>
          <w:szCs w:val="24"/>
        </w:rPr>
        <w:t>, revogando disposições em contrário.</w:t>
      </w:r>
    </w:p>
    <w:p w14:paraId="01B41D0D" w14:textId="77777777" w:rsidR="00EE783F" w:rsidRDefault="00EE783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CB236F" w14:textId="57EC12F8" w:rsidR="00EE783F" w:rsidRDefault="00306128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Macaé, </w:t>
      </w:r>
      <w:r w:rsidR="00985C7A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novembro de 2021</w:t>
      </w:r>
    </w:p>
    <w:p w14:paraId="0D1B3D82" w14:textId="77777777" w:rsidR="00EE783F" w:rsidRDefault="00EE78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136915" w14:textId="4242B240" w:rsidR="00EE783F" w:rsidRDefault="00985C7A" w:rsidP="00985C7A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Professor Michel</w:t>
      </w:r>
    </w:p>
    <w:p w14:paraId="28B34810" w14:textId="58AE1410" w:rsidR="00EE783F" w:rsidRDefault="003061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Autor</w:t>
      </w:r>
    </w:p>
    <w:p w14:paraId="00E043D7" w14:textId="77777777" w:rsidR="00EE783F" w:rsidRDefault="00306128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36974129" w14:textId="77777777" w:rsidR="00EE783F" w:rsidRDefault="00EE783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AB8242" w14:textId="77777777" w:rsidR="00EE783F" w:rsidRDefault="00306128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14:paraId="3302C8DF" w14:textId="77777777" w:rsidR="00EE783F" w:rsidRDefault="00EE783F" w:rsidP="00985C7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A51764" w14:textId="2CB3756B" w:rsidR="00985C7A" w:rsidRPr="00985C7A" w:rsidRDefault="00306128" w:rsidP="00985C7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finalidade da ação aqui elaborada é </w:t>
      </w:r>
      <w:r>
        <w:rPr>
          <w:rFonts w:ascii="Times New Roman" w:eastAsia="Times New Roman" w:hAnsi="Times New Roman" w:cs="Times New Roman"/>
        </w:rPr>
        <w:t xml:space="preserve">apoiar e fortalecer a participação das comunidades locais na gestão </w:t>
      </w:r>
      <w:r w:rsidR="00985C7A">
        <w:rPr>
          <w:rFonts w:ascii="Times New Roman" w:eastAsia="Times New Roman" w:hAnsi="Times New Roman" w:cs="Times New Roman"/>
        </w:rPr>
        <w:t>das políticas públicas de Direitos Humanos</w:t>
      </w:r>
      <w:r>
        <w:rPr>
          <w:rFonts w:ascii="Times New Roman" w:eastAsia="Times New Roman" w:hAnsi="Times New Roman" w:cs="Times New Roman"/>
        </w:rPr>
        <w:t xml:space="preserve"> por meio da criação e efetivação de um Conselho Municipal de </w:t>
      </w:r>
      <w:r w:rsidR="00985C7A">
        <w:rPr>
          <w:rFonts w:ascii="Times New Roman" w:eastAsia="Times New Roman" w:hAnsi="Times New Roman" w:cs="Times New Roman"/>
        </w:rPr>
        <w:t>Defesa e Proteção da Liberdade Religiosa</w:t>
      </w:r>
      <w:r>
        <w:rPr>
          <w:rFonts w:ascii="Times New Roman" w:eastAsia="Times New Roman" w:hAnsi="Times New Roman" w:cs="Times New Roman"/>
        </w:rPr>
        <w:t>. Os conselhos de políticas públicas provêm do princípio da participação comunitária (Con</w:t>
      </w:r>
      <w:r>
        <w:rPr>
          <w:rFonts w:ascii="Times New Roman" w:eastAsia="Times New Roman" w:hAnsi="Times New Roman" w:cs="Times New Roman"/>
        </w:rPr>
        <w:t xml:space="preserve">stituição de 1988), tendo origem em experiências de caráter informal sustentadas por movimentos sociais. Os conselhos têm o intuito de se firmar como um espaço de cogestão entre o Estado e a sociedade. </w:t>
      </w:r>
      <w:r w:rsidR="00985C7A">
        <w:rPr>
          <w:rFonts w:ascii="Times New Roman" w:eastAsia="Times New Roman" w:hAnsi="Times New Roman" w:cs="Times New Roman"/>
        </w:rPr>
        <w:t>Ressaltamos, ainda, que</w:t>
      </w:r>
      <w:r w:rsidR="00985C7A">
        <w:t xml:space="preserve"> a</w:t>
      </w:r>
      <w:r w:rsidR="00985C7A" w:rsidRPr="00985C7A">
        <w:rPr>
          <w:rFonts w:ascii="Times New Roman" w:eastAsia="Times New Roman" w:hAnsi="Times New Roman" w:cs="Times New Roman"/>
        </w:rPr>
        <w:t xml:space="preserve"> Constituição Federal consagra</w:t>
      </w:r>
      <w:r w:rsidR="00985C7A">
        <w:rPr>
          <w:rFonts w:ascii="Times New Roman" w:eastAsia="Times New Roman" w:hAnsi="Times New Roman" w:cs="Times New Roman"/>
        </w:rPr>
        <w:t>,</w:t>
      </w:r>
      <w:r w:rsidR="00985C7A" w:rsidRPr="00985C7A">
        <w:rPr>
          <w:rFonts w:ascii="Times New Roman" w:eastAsia="Times New Roman" w:hAnsi="Times New Roman" w:cs="Times New Roman"/>
        </w:rPr>
        <w:t xml:space="preserve"> em seu artigo 5º, VI</w:t>
      </w:r>
      <w:r w:rsidR="00985C7A">
        <w:rPr>
          <w:rFonts w:ascii="Times New Roman" w:eastAsia="Times New Roman" w:hAnsi="Times New Roman" w:cs="Times New Roman"/>
        </w:rPr>
        <w:t xml:space="preserve">, </w:t>
      </w:r>
      <w:r w:rsidR="00985C7A" w:rsidRPr="00985C7A">
        <w:rPr>
          <w:rFonts w:ascii="Times New Roman" w:eastAsia="Times New Roman" w:hAnsi="Times New Roman" w:cs="Times New Roman"/>
        </w:rPr>
        <w:t>como direito fundamental a liberdade de religião, definindo a laicidade no país. Nes</w:t>
      </w:r>
      <w:r w:rsidR="00985C7A">
        <w:rPr>
          <w:rFonts w:ascii="Times New Roman" w:eastAsia="Times New Roman" w:hAnsi="Times New Roman" w:cs="Times New Roman"/>
        </w:rPr>
        <w:t>s</w:t>
      </w:r>
      <w:r w:rsidR="00985C7A" w:rsidRPr="00985C7A">
        <w:rPr>
          <w:rFonts w:ascii="Times New Roman" w:eastAsia="Times New Roman" w:hAnsi="Times New Roman" w:cs="Times New Roman"/>
        </w:rPr>
        <w:t>e sentido, o Estado deve proporcionar aos seus cidadãos a compreensão religiosa, a promoção pela liberdade religiosa e a garantia ao livre exercício de todas as religiões, artigo 3°, IV da Constituição Federal.</w:t>
      </w:r>
      <w:r w:rsidR="00985C7A">
        <w:rPr>
          <w:rFonts w:ascii="Times New Roman" w:eastAsia="Times New Roman" w:hAnsi="Times New Roman" w:cs="Times New Roman"/>
        </w:rPr>
        <w:t xml:space="preserve"> </w:t>
      </w:r>
      <w:r w:rsidR="00985C7A" w:rsidRPr="00985C7A">
        <w:rPr>
          <w:rFonts w:ascii="Times New Roman" w:eastAsia="Times New Roman" w:hAnsi="Times New Roman" w:cs="Times New Roman"/>
        </w:rPr>
        <w:t xml:space="preserve">Os casos de intolerância religiosa aumentam cada vez mais no </w:t>
      </w:r>
      <w:r w:rsidR="00985C7A">
        <w:rPr>
          <w:rFonts w:ascii="Times New Roman" w:eastAsia="Times New Roman" w:hAnsi="Times New Roman" w:cs="Times New Roman"/>
        </w:rPr>
        <w:t xml:space="preserve">país, e o </w:t>
      </w:r>
      <w:r w:rsidR="00985C7A" w:rsidRPr="00985C7A">
        <w:rPr>
          <w:rFonts w:ascii="Times New Roman" w:eastAsia="Times New Roman" w:hAnsi="Times New Roman" w:cs="Times New Roman"/>
        </w:rPr>
        <w:t xml:space="preserve">Município </w:t>
      </w:r>
      <w:r w:rsidR="00985C7A">
        <w:rPr>
          <w:rFonts w:ascii="Times New Roman" w:eastAsia="Times New Roman" w:hAnsi="Times New Roman" w:cs="Times New Roman"/>
        </w:rPr>
        <w:t>de Macaé não está dissociado dessa triste realidade.</w:t>
      </w:r>
      <w:r w:rsidR="00985C7A" w:rsidRPr="00985C7A">
        <w:rPr>
          <w:rFonts w:ascii="Times New Roman" w:eastAsia="Times New Roman" w:hAnsi="Times New Roman" w:cs="Times New Roman"/>
        </w:rPr>
        <w:t xml:space="preserve"> </w:t>
      </w:r>
      <w:r w:rsidR="00985C7A">
        <w:rPr>
          <w:rFonts w:ascii="Times New Roman" w:eastAsia="Times New Roman" w:hAnsi="Times New Roman" w:cs="Times New Roman"/>
        </w:rPr>
        <w:t>P</w:t>
      </w:r>
      <w:r w:rsidR="00985C7A" w:rsidRPr="00985C7A">
        <w:rPr>
          <w:rFonts w:ascii="Times New Roman" w:eastAsia="Times New Roman" w:hAnsi="Times New Roman" w:cs="Times New Roman"/>
        </w:rPr>
        <w:t xml:space="preserve">or muitas vezes, </w:t>
      </w:r>
      <w:r w:rsidR="00985C7A">
        <w:rPr>
          <w:rFonts w:ascii="Times New Roman" w:eastAsia="Times New Roman" w:hAnsi="Times New Roman" w:cs="Times New Roman"/>
        </w:rPr>
        <w:t xml:space="preserve">esses casos </w:t>
      </w:r>
      <w:r w:rsidR="00985C7A" w:rsidRPr="00985C7A">
        <w:rPr>
          <w:rFonts w:ascii="Times New Roman" w:eastAsia="Times New Roman" w:hAnsi="Times New Roman" w:cs="Times New Roman"/>
        </w:rPr>
        <w:t>não chegam ao judiciário ou ao poder público</w:t>
      </w:r>
      <w:r w:rsidR="00985C7A">
        <w:rPr>
          <w:rFonts w:ascii="Times New Roman" w:eastAsia="Times New Roman" w:hAnsi="Times New Roman" w:cs="Times New Roman"/>
        </w:rPr>
        <w:t>,</w:t>
      </w:r>
      <w:r w:rsidR="00985C7A" w:rsidRPr="00985C7A">
        <w:rPr>
          <w:rFonts w:ascii="Times New Roman" w:eastAsia="Times New Roman" w:hAnsi="Times New Roman" w:cs="Times New Roman"/>
        </w:rPr>
        <w:t xml:space="preserve"> seja pela falta do conhecimento do direito à liberdade religiosa</w:t>
      </w:r>
      <w:r w:rsidR="00985C7A">
        <w:rPr>
          <w:rFonts w:ascii="Times New Roman" w:eastAsia="Times New Roman" w:hAnsi="Times New Roman" w:cs="Times New Roman"/>
        </w:rPr>
        <w:t xml:space="preserve">, seja pela falta </w:t>
      </w:r>
      <w:r w:rsidR="00985C7A" w:rsidRPr="00985C7A">
        <w:rPr>
          <w:rFonts w:ascii="Times New Roman" w:eastAsia="Times New Roman" w:hAnsi="Times New Roman" w:cs="Times New Roman"/>
        </w:rPr>
        <w:t>d</w:t>
      </w:r>
      <w:r w:rsidR="00985C7A">
        <w:rPr>
          <w:rFonts w:ascii="Times New Roman" w:eastAsia="Times New Roman" w:hAnsi="Times New Roman" w:cs="Times New Roman"/>
        </w:rPr>
        <w:t>e</w:t>
      </w:r>
      <w:r w:rsidR="00985C7A" w:rsidRPr="00985C7A">
        <w:rPr>
          <w:rFonts w:ascii="Times New Roman" w:eastAsia="Times New Roman" w:hAnsi="Times New Roman" w:cs="Times New Roman"/>
        </w:rPr>
        <w:t xml:space="preserve"> canais apropriados para denúncia, o que gera a naturalização das violações sofridas em muitos casos. Por outro lado, o Poder Público ainda não está completamente munido de elementos informativos e conceituais para o melhor atendimento dessas demandas, o que pode acabar por desqualificá-las, não permitindo respostas mais adequadas a esses casos.</w:t>
      </w:r>
    </w:p>
    <w:p w14:paraId="28609558" w14:textId="6410D30C" w:rsidR="00EE783F" w:rsidRDefault="00985C7A" w:rsidP="00985C7A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Pr="00985C7A">
        <w:rPr>
          <w:rFonts w:ascii="Times New Roman" w:eastAsia="Times New Roman" w:hAnsi="Times New Roman" w:cs="Times New Roman"/>
        </w:rPr>
        <w:t>om o compromisso de defender e promover a Liberdade Religiosa para todos e a necessidade de compreender a existência dos segmentos religiosos, comunidades tradicionais e segmentos culturais e filosóficos</w:t>
      </w:r>
      <w:r>
        <w:rPr>
          <w:rFonts w:ascii="Times New Roman" w:eastAsia="Times New Roman" w:hAnsi="Times New Roman" w:cs="Times New Roman"/>
        </w:rPr>
        <w:t>,</w:t>
      </w:r>
      <w:r w:rsidRPr="00985C7A">
        <w:rPr>
          <w:rFonts w:ascii="Times New Roman" w:eastAsia="Times New Roman" w:hAnsi="Times New Roman" w:cs="Times New Roman"/>
        </w:rPr>
        <w:t xml:space="preserve"> incluindo o ateísmo e o agnosticismo, como um valor positivo da democracia enquanto um fato social fruto da própria diversidade cultural e humana, é que se faz necessária a criação do Conselho Municipal de Defesa e Pr</w:t>
      </w:r>
      <w:r>
        <w:rPr>
          <w:rFonts w:ascii="Times New Roman" w:eastAsia="Times New Roman" w:hAnsi="Times New Roman" w:cs="Times New Roman"/>
        </w:rPr>
        <w:t>oteção</w:t>
      </w:r>
      <w:r w:rsidRPr="00985C7A">
        <w:rPr>
          <w:rFonts w:ascii="Times New Roman" w:eastAsia="Times New Roman" w:hAnsi="Times New Roman" w:cs="Times New Roman"/>
        </w:rPr>
        <w:t xml:space="preserve"> da Liberdade</w:t>
      </w:r>
      <w:r>
        <w:rPr>
          <w:rFonts w:ascii="Times New Roman" w:eastAsia="Times New Roman" w:hAnsi="Times New Roman" w:cs="Times New Roman"/>
        </w:rPr>
        <w:t xml:space="preserve"> Religiosa.</w:t>
      </w:r>
    </w:p>
    <w:p w14:paraId="3B555370" w14:textId="4DDC7DBF" w:rsidR="00985C7A" w:rsidRDefault="0030612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985C7A">
        <w:rPr>
          <w:rFonts w:ascii="Times New Roman" w:eastAsia="Times New Roman" w:hAnsi="Times New Roman" w:cs="Times New Roman"/>
        </w:rPr>
        <w:t>Assim</w:t>
      </w:r>
      <w:r>
        <w:rPr>
          <w:rFonts w:ascii="Times New Roman" w:eastAsia="Times New Roman" w:hAnsi="Times New Roman" w:cs="Times New Roman"/>
        </w:rPr>
        <w:t>, a emenda ora proposta</w:t>
      </w:r>
      <w:r w:rsidR="00985C7A">
        <w:rPr>
          <w:rFonts w:ascii="Times New Roman" w:eastAsia="Times New Roman" w:hAnsi="Times New Roman" w:cs="Times New Roman"/>
        </w:rPr>
        <w:t>, em harmonia com o previsto no Programa de Governo da Coligação Majoritária “Macaé para todos”, especificamente na seção acerca das políticas e ações sociais da área de Direitos Humanos,</w:t>
      </w:r>
      <w:r>
        <w:rPr>
          <w:rFonts w:ascii="Times New Roman" w:eastAsia="Times New Roman" w:hAnsi="Times New Roman" w:cs="Times New Roman"/>
        </w:rPr>
        <w:t xml:space="preserve"> objetiva conferir dotação para criação e manutenção do Conselho</w:t>
      </w:r>
      <w:r w:rsidR="00985C7A">
        <w:rPr>
          <w:rFonts w:ascii="Times New Roman" w:eastAsia="Times New Roman" w:hAnsi="Times New Roman" w:cs="Times New Roman"/>
        </w:rPr>
        <w:t xml:space="preserve"> Municipal de </w:t>
      </w:r>
      <w:r w:rsidR="00985C7A">
        <w:rPr>
          <w:rFonts w:ascii="Times New Roman" w:eastAsia="Times New Roman" w:hAnsi="Times New Roman" w:cs="Times New Roman"/>
        </w:rPr>
        <w:t>Defesa e Proteção da Liberdade Religiosa</w:t>
      </w:r>
      <w:r>
        <w:rPr>
          <w:rFonts w:ascii="Times New Roman" w:eastAsia="Times New Roman" w:hAnsi="Times New Roman" w:cs="Times New Roman"/>
        </w:rPr>
        <w:t>, a partir da anulação parcial de valor da ação “</w:t>
      </w:r>
      <w:r w:rsidR="00985C7A" w:rsidRPr="00985C7A">
        <w:rPr>
          <w:rFonts w:ascii="Times New Roman" w:eastAsia="Times New Roman" w:hAnsi="Times New Roman" w:cs="Times New Roman"/>
        </w:rPr>
        <w:t>C</w:t>
      </w:r>
      <w:r w:rsidR="00985C7A">
        <w:rPr>
          <w:rFonts w:ascii="Times New Roman" w:eastAsia="Times New Roman" w:hAnsi="Times New Roman" w:cs="Times New Roman"/>
        </w:rPr>
        <w:t>riação e Manutenção do Conselho Municipal LGBTI+”, c</w:t>
      </w:r>
      <w:r>
        <w:rPr>
          <w:rFonts w:ascii="Times New Roman" w:eastAsia="Times New Roman" w:hAnsi="Times New Roman" w:cs="Times New Roman"/>
        </w:rPr>
        <w:t xml:space="preserve">onsiderando que a anulação proposta </w:t>
      </w:r>
      <w:r>
        <w:rPr>
          <w:rFonts w:ascii="Times New Roman" w:eastAsia="Times New Roman" w:hAnsi="Times New Roman" w:cs="Times New Roman"/>
        </w:rPr>
        <w:t>não prejudica a execução da atividade fim da ação.</w:t>
      </w:r>
    </w:p>
    <w:p w14:paraId="1D8E1978" w14:textId="6F73C604" w:rsidR="00985C7A" w:rsidRDefault="00985C7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78074D9" w14:textId="260F8A2A" w:rsidR="00985C7A" w:rsidRDefault="00985C7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D344539" w14:textId="77777777" w:rsidR="00985C7A" w:rsidRPr="00985C7A" w:rsidRDefault="00985C7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CE077DA" w14:textId="65767E0E" w:rsidR="00EE783F" w:rsidRDefault="00306128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Macaé,</w:t>
      </w:r>
      <w:r w:rsidR="00985C7A">
        <w:rPr>
          <w:rFonts w:ascii="Times New Roman" w:eastAsia="Times New Roman" w:hAnsi="Times New Roman" w:cs="Times New Roman"/>
          <w:sz w:val="24"/>
          <w:szCs w:val="24"/>
        </w:rPr>
        <w:t xml:space="preserve"> 22 </w:t>
      </w:r>
      <w:r>
        <w:rPr>
          <w:rFonts w:ascii="Times New Roman" w:eastAsia="Times New Roman" w:hAnsi="Times New Roman" w:cs="Times New Roman"/>
          <w:sz w:val="24"/>
          <w:szCs w:val="24"/>
        </w:rPr>
        <w:t>de novembro de 2021</w:t>
      </w:r>
    </w:p>
    <w:p w14:paraId="5A62D1B7" w14:textId="77777777" w:rsidR="00EE783F" w:rsidRDefault="00EE783F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144C6C" w14:textId="77777777" w:rsidR="00EE783F" w:rsidRDefault="00EE783F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C49723" w14:textId="7C99FCFF" w:rsidR="00EE783F" w:rsidRDefault="00985C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Professor Michel</w:t>
      </w:r>
    </w:p>
    <w:p w14:paraId="7DE6F3A0" w14:textId="77777777" w:rsidR="00EE783F" w:rsidRDefault="00EE78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1D4021" w14:textId="1E290A94" w:rsidR="00EE783F" w:rsidRDefault="003061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Autor</w:t>
      </w:r>
    </w:p>
    <w:p w14:paraId="1D320756" w14:textId="77777777" w:rsidR="00EE783F" w:rsidRDefault="00EE783F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E783F">
      <w:headerReference w:type="default" r:id="rId8"/>
      <w:footerReference w:type="default" r:id="rId9"/>
      <w:pgSz w:w="11906" w:h="16838"/>
      <w:pgMar w:top="1417" w:right="1701" w:bottom="1276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05ED1" w14:textId="77777777" w:rsidR="00306128" w:rsidRDefault="00306128">
      <w:pPr>
        <w:spacing w:after="0" w:line="240" w:lineRule="auto"/>
      </w:pPr>
      <w:r>
        <w:separator/>
      </w:r>
    </w:p>
  </w:endnote>
  <w:endnote w:type="continuationSeparator" w:id="0">
    <w:p w14:paraId="72CDFB1A" w14:textId="77777777" w:rsidR="00306128" w:rsidRDefault="0030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AC05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Palácio do Legislativo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Natálio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Salvador Antunes</w:t>
    </w:r>
  </w:p>
  <w:p w14:paraId="072DE04F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Rodovia Christino José da Silva Júnior, s/n. Virgem Santa</w:t>
    </w:r>
  </w:p>
  <w:p w14:paraId="0602FBCA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Macaé-RJ. CEP: 27.948-010</w:t>
    </w:r>
  </w:p>
  <w:p w14:paraId="3B822A9F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Telefone/Fax (022) 2772-4681</w:t>
    </w:r>
  </w:p>
  <w:p w14:paraId="0BA9F3D4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E-mail: </w:t>
    </w:r>
    <w:hyperlink r:id="rId1"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secretaria@cmmace.rj.gov.br</w:t>
      </w:r>
    </w:hyperlink>
  </w:p>
  <w:p w14:paraId="11FBC557" w14:textId="77777777" w:rsidR="00EE783F" w:rsidRDefault="00EE7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8619F" w14:textId="77777777" w:rsidR="00306128" w:rsidRDefault="00306128">
      <w:pPr>
        <w:spacing w:after="0" w:line="240" w:lineRule="auto"/>
      </w:pPr>
      <w:r>
        <w:separator/>
      </w:r>
    </w:p>
  </w:footnote>
  <w:footnote w:type="continuationSeparator" w:id="0">
    <w:p w14:paraId="02CB8654" w14:textId="77777777" w:rsidR="00306128" w:rsidRDefault="00306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C5E8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1BCCD8E2" wp14:editId="1CA90C5A">
          <wp:extent cx="857250" cy="790575"/>
          <wp:effectExtent l="0" t="0" r="0" b="0"/>
          <wp:docPr id="7" name="image1.png" descr="Imagem Brasão Maca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m Brasão Macaé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FE83137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ESTADO DO RIO DE JANEIRO</w:t>
    </w:r>
  </w:p>
  <w:p w14:paraId="39B50650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CÂMARA MUNICIPAL DE MACAÉ</w:t>
    </w:r>
  </w:p>
  <w:p w14:paraId="70C0044D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DIRETORIA GERAL DE ASSUNTOS LEGISLATIVOS</w:t>
    </w:r>
  </w:p>
  <w:p w14:paraId="1171E4A1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Macaé Capital do Petróleo</w:t>
    </w:r>
  </w:p>
  <w:p w14:paraId="595CA245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Lei Estadual nº 6081 de 21.11.2011</w:t>
    </w:r>
  </w:p>
  <w:p w14:paraId="51CA0A3B" w14:textId="77777777" w:rsidR="00EE783F" w:rsidRDefault="00EE7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33C6"/>
    <w:multiLevelType w:val="multilevel"/>
    <w:tmpl w:val="C526D1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3F"/>
    <w:rsid w:val="00306128"/>
    <w:rsid w:val="00985C7A"/>
    <w:rsid w:val="00E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A409"/>
  <w15:docId w15:val="{E3E942E5-5D73-487C-A7D2-7C948CA8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Corpodotexto"/>
    <w:qFormat/>
    <w:rPr>
      <w:rFonts w:cs="Mangal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8WbbsQhE3ywTgditWrIKrD9RJw==">AMUW2mX5giyiDK+UKyCZSnUPZzReCEbzBTHmBVFF5c/PoH4zbn4frDoNQ+szwWKKdkWf1pupkPeuLioFO3Z3JVCWVrq17g5zH0cBUvDbk4Z+3OfxcO8xnF5ASqLbe8UhLqDNKt9nhvbZ1NeikN6ucTJU+Um2VeR0V3EPRb7Haycm2J6hJlm0poLH5M/1md16rcYe6dC3o6GV4tuN1WTzu+WeyKiKUBU5jU40K/cs/wdVyjxmnzvU0pk=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802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Amorim</dc:creator>
  <cp:lastModifiedBy>Victor Freitas</cp:lastModifiedBy>
  <cp:revision>2</cp:revision>
  <dcterms:created xsi:type="dcterms:W3CDTF">2021-08-03T19:25:00Z</dcterms:created>
  <dcterms:modified xsi:type="dcterms:W3CDTF">2021-11-22T20:25:00Z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3AAF2B4295954FFB92C52AB67B99201A</vt:lpwstr>
  </property>
</Properties>
</file>