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33" w:rsidRDefault="007C2A4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</w:rPr>
      </w:pPr>
      <w:r w:rsidRPr="007C2A43">
        <w:rPr>
          <w:b/>
          <w:color w:val="000000"/>
          <w:sz w:val="28"/>
        </w:rPr>
        <w:t xml:space="preserve">PROJETO DE </w:t>
      </w:r>
      <w:r w:rsidRPr="007C2A43">
        <w:rPr>
          <w:b/>
          <w:sz w:val="28"/>
        </w:rPr>
        <w:t>LEI</w:t>
      </w:r>
      <w:r w:rsidRPr="007C2A43">
        <w:rPr>
          <w:b/>
          <w:color w:val="000000"/>
          <w:sz w:val="28"/>
        </w:rPr>
        <w:t xml:space="preserve"> Nº L-137</w:t>
      </w:r>
      <w:r w:rsidRPr="007C2A43">
        <w:rPr>
          <w:b/>
          <w:color w:val="000000"/>
          <w:sz w:val="28"/>
        </w:rPr>
        <w:t>/2021</w:t>
      </w:r>
    </w:p>
    <w:p w:rsidR="007C2A43" w:rsidRDefault="007C2A4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</w:rPr>
      </w:pPr>
    </w:p>
    <w:p w:rsidR="007C2A43" w:rsidRPr="007C2A43" w:rsidRDefault="007C2A43" w:rsidP="007C2A4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6"/>
        </w:rPr>
      </w:pPr>
      <w:r w:rsidRPr="007C2A43">
        <w:rPr>
          <w:color w:val="000000"/>
          <w:sz w:val="16"/>
        </w:rPr>
        <w:t>Vereadora Autora Iza Vicente</w:t>
      </w:r>
    </w:p>
    <w:p w:rsidR="006B5133" w:rsidRDefault="007C2A43">
      <w:pPr>
        <w:spacing w:line="360" w:lineRule="auto"/>
        <w:ind w:left="0" w:hanging="2"/>
        <w:jc w:val="both"/>
      </w:pPr>
      <w:r>
        <w:t xml:space="preserve">     </w:t>
      </w:r>
    </w:p>
    <w:p w:rsidR="006B5133" w:rsidRDefault="007C2A43" w:rsidP="007C2A43">
      <w:pPr>
        <w:spacing w:line="240" w:lineRule="auto"/>
        <w:ind w:leftChars="1652" w:left="3967" w:hanging="2"/>
        <w:jc w:val="both"/>
        <w:rPr>
          <w:color w:val="000000"/>
        </w:rPr>
      </w:pPr>
      <w:r>
        <w:rPr>
          <w:color w:val="000000"/>
        </w:rPr>
        <w:t>CRIA IMPEDIMENTO PARA OCUPAÇÃO DE CARGOS N</w:t>
      </w:r>
      <w:r>
        <w:t>A ADMINISTRAÇÃO PÚBLICA MUNICIPAL DE MACAÉ POR PESSOAS CONDENADAS PELO CRIME DE RACISMO OU INJÚRIA RACIAL</w:t>
      </w:r>
    </w:p>
    <w:p w:rsidR="006B5133" w:rsidRDefault="006B5133" w:rsidP="007C2A43">
      <w:pP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6B5133" w:rsidRDefault="006B5133" w:rsidP="007C2A43">
      <w:pPr>
        <w:spacing w:line="240" w:lineRule="auto"/>
        <w:ind w:left="0" w:hanging="2"/>
        <w:jc w:val="both"/>
      </w:pPr>
    </w:p>
    <w:p w:rsidR="006B5133" w:rsidRDefault="007C2A43" w:rsidP="007C2A43">
      <w:pPr>
        <w:spacing w:line="360" w:lineRule="auto"/>
        <w:ind w:left="0" w:hanging="2"/>
        <w:jc w:val="both"/>
      </w:pPr>
      <w:r>
        <w:t xml:space="preserve">A </w:t>
      </w:r>
      <w:r>
        <w:rPr>
          <w:b/>
        </w:rPr>
        <w:t>CÂMARA MUNICIPAL DE MACAÉ</w:t>
      </w:r>
      <w:r>
        <w:t xml:space="preserve">, no uso de suas atribuições legais, </w:t>
      </w:r>
      <w:r>
        <w:rPr>
          <w:b/>
        </w:rPr>
        <w:t>DELIBERA:</w:t>
      </w:r>
    </w:p>
    <w:p w:rsidR="007C2A43" w:rsidRDefault="007C2A43" w:rsidP="007C2A43">
      <w:pPr>
        <w:spacing w:line="240" w:lineRule="auto"/>
        <w:ind w:left="-2" w:firstLineChars="295" w:firstLine="708"/>
        <w:jc w:val="both"/>
        <w:rPr>
          <w:color w:val="000000"/>
        </w:rPr>
      </w:pPr>
    </w:p>
    <w:p w:rsidR="006B5133" w:rsidRDefault="007C2A43" w:rsidP="007C2A43">
      <w:pP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A</w:t>
      </w:r>
      <w:r>
        <w:rPr>
          <w:color w:val="000000"/>
        </w:rPr>
        <w:t>rt. 1°</w:t>
      </w:r>
      <w:r>
        <w:rPr>
          <w:color w:val="000000"/>
        </w:rPr>
        <w:t xml:space="preserve"> Ficam impedidos de ocupar cargos n</w:t>
      </w:r>
      <w:r>
        <w:t>a Administração Pública</w:t>
      </w:r>
      <w:r>
        <w:rPr>
          <w:color w:val="000000"/>
        </w:rPr>
        <w:t xml:space="preserve"> municipal:</w:t>
      </w:r>
    </w:p>
    <w:p w:rsidR="006B5133" w:rsidRDefault="006B5133" w:rsidP="007C2A43">
      <w:pPr>
        <w:spacing w:line="240" w:lineRule="auto"/>
        <w:ind w:left="-2" w:firstLineChars="295" w:firstLine="708"/>
        <w:jc w:val="both"/>
        <w:rPr>
          <w:color w:val="000000"/>
        </w:rPr>
      </w:pPr>
    </w:p>
    <w:p w:rsidR="006B5133" w:rsidRDefault="007C2A43" w:rsidP="007C2A43">
      <w:pP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I -</w:t>
      </w:r>
      <w:r>
        <w:rPr>
          <w:color w:val="000000"/>
        </w:rPr>
        <w:t xml:space="preserve"> Indivíduos que foram condenados, em decisão transitada em julgado ou proferida por órgão judicial colegiado, desde a condenação até o transcurso do prazo de 8 (oi</w:t>
      </w:r>
      <w:r>
        <w:rPr>
          <w:color w:val="000000"/>
        </w:rPr>
        <w:t>to) anos após o cumprimento da pena, pelo crime de injúria racial, nos termos do artigo 140, parágrafo 3º, do Código Penal;</w:t>
      </w:r>
    </w:p>
    <w:p w:rsidR="006B5133" w:rsidRDefault="006B5133" w:rsidP="007C2A43">
      <w:pPr>
        <w:spacing w:line="240" w:lineRule="auto"/>
        <w:ind w:left="-2" w:firstLineChars="295" w:firstLine="708"/>
        <w:jc w:val="both"/>
        <w:rPr>
          <w:color w:val="000000"/>
        </w:rPr>
      </w:pPr>
    </w:p>
    <w:p w:rsidR="006B5133" w:rsidRDefault="007C2A43" w:rsidP="007C2A43">
      <w:pP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II - Indivíduos que foram condenados, em decisão transitada em julgado ou proferida por órgão judicial colegiado, desde a condenaçã</w:t>
      </w:r>
      <w:r>
        <w:rPr>
          <w:color w:val="000000"/>
        </w:rPr>
        <w:t>o até o transcurso do prazo de 8 (oito) anos após o cumprimento da pena, pelo crime de racismo, nos termos da Lei Federal nº 7.716/1989;</w:t>
      </w:r>
    </w:p>
    <w:p w:rsidR="006B5133" w:rsidRDefault="007C2A43" w:rsidP="007C2A43">
      <w:pPr>
        <w:spacing w:line="240" w:lineRule="auto"/>
        <w:ind w:left="-2" w:firstLineChars="295" w:firstLine="708"/>
        <w:jc w:val="both"/>
      </w:pPr>
      <w:r>
        <w:t xml:space="preserve"> </w:t>
      </w:r>
    </w:p>
    <w:p w:rsidR="006B5133" w:rsidRDefault="007C2A43" w:rsidP="007C2A43">
      <w:pPr>
        <w:spacing w:line="240" w:lineRule="auto"/>
        <w:ind w:left="-2" w:firstLineChars="295" w:firstLine="708"/>
        <w:jc w:val="both"/>
      </w:pPr>
      <w:r>
        <w:t>Parágrafo único. As vedações previstas nesta lei se aplicam a todos os cargos efetivos e em comissão de livre nomeaçã</w:t>
      </w:r>
      <w:r>
        <w:t xml:space="preserve">o e exoneração no âmbito da administração pública direta e indireta do município. </w:t>
      </w:r>
    </w:p>
    <w:p w:rsidR="006B5133" w:rsidRDefault="006B5133" w:rsidP="007C2A43">
      <w:pPr>
        <w:spacing w:line="240" w:lineRule="auto"/>
        <w:ind w:left="-2" w:firstLineChars="295" w:firstLine="708"/>
        <w:jc w:val="both"/>
      </w:pPr>
    </w:p>
    <w:p w:rsidR="006B5133" w:rsidRDefault="007C2A43" w:rsidP="007C2A43">
      <w:pP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Art. 2°</w:t>
      </w:r>
      <w:r>
        <w:rPr>
          <w:color w:val="000000"/>
        </w:rPr>
        <w:t xml:space="preserve"> O nomeado ou designado para o cargo em comissão ou função gratificada, obrigatoriamente antes da investidura, terá ciência das restrições aqui previstas, devendo d</w:t>
      </w:r>
      <w:r>
        <w:rPr>
          <w:color w:val="000000"/>
        </w:rPr>
        <w:t>eclarar, por escrito, sob pena da lei, não se encontrar inserido nas vedações do parágrafo primeiro.</w:t>
      </w:r>
    </w:p>
    <w:p w:rsidR="006B5133" w:rsidRDefault="006B5133" w:rsidP="007C2A43">
      <w:pPr>
        <w:spacing w:line="240" w:lineRule="auto"/>
        <w:ind w:left="-2" w:firstLineChars="295" w:firstLine="708"/>
        <w:jc w:val="both"/>
        <w:rPr>
          <w:color w:val="000000"/>
        </w:rPr>
      </w:pPr>
    </w:p>
    <w:p w:rsidR="006B5133" w:rsidRDefault="007C2A43" w:rsidP="007C2A43">
      <w:pP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Art. 3°</w:t>
      </w:r>
      <w:r>
        <w:rPr>
          <w:color w:val="000000"/>
        </w:rPr>
        <w:t xml:space="preserve"> Caberá ao ente </w:t>
      </w:r>
      <w:r>
        <w:t xml:space="preserve">responsável pela nomeação </w:t>
      </w:r>
      <w:r>
        <w:rPr>
          <w:color w:val="000000"/>
        </w:rPr>
        <w:t>a fiscalização de seus atos em obediência à presente lei, com a possibilidade de requerer aos órgãos com</w:t>
      </w:r>
      <w:r>
        <w:rPr>
          <w:color w:val="000000"/>
        </w:rPr>
        <w:t>petentes informações e documentos necessários para o cumprimento das exigências legais.</w:t>
      </w:r>
    </w:p>
    <w:p w:rsidR="006B5133" w:rsidRDefault="006B5133" w:rsidP="007C2A43">
      <w:pPr>
        <w:spacing w:line="240" w:lineRule="auto"/>
        <w:ind w:left="-2" w:firstLineChars="295" w:firstLine="708"/>
        <w:jc w:val="both"/>
        <w:rPr>
          <w:color w:val="000000"/>
        </w:rPr>
      </w:pPr>
    </w:p>
    <w:p w:rsidR="006B5133" w:rsidRDefault="007C2A43" w:rsidP="007C2A43">
      <w:pP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Art. 4°</w:t>
      </w:r>
      <w:r>
        <w:rPr>
          <w:color w:val="000000"/>
        </w:rPr>
        <w:t xml:space="preserve"> Todos os atos efetuados em desobediência às vedações previstas nesta lei serão considerados nulos a partir da sua vigência.</w:t>
      </w:r>
    </w:p>
    <w:p w:rsidR="006B5133" w:rsidRDefault="006B5133" w:rsidP="007C2A43">
      <w:pPr>
        <w:spacing w:line="240" w:lineRule="auto"/>
        <w:ind w:left="-2" w:firstLineChars="295" w:firstLine="708"/>
        <w:jc w:val="both"/>
        <w:rPr>
          <w:color w:val="000000"/>
        </w:rPr>
      </w:pPr>
    </w:p>
    <w:p w:rsidR="006B5133" w:rsidRDefault="007C2A43" w:rsidP="007C2A43">
      <w:pP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 xml:space="preserve">Art. </w:t>
      </w:r>
      <w:r>
        <w:t>5</w:t>
      </w:r>
      <w:r>
        <w:rPr>
          <w:color w:val="000000"/>
        </w:rPr>
        <w:t xml:space="preserve">° </w:t>
      </w:r>
      <w:r>
        <w:rPr>
          <w:color w:val="000000"/>
        </w:rPr>
        <w:t xml:space="preserve">Esta </w:t>
      </w:r>
      <w:r>
        <w:t>Lei</w:t>
      </w:r>
      <w:r>
        <w:rPr>
          <w:color w:val="000000"/>
        </w:rPr>
        <w:t xml:space="preserve"> entra em vigor na data de sua publicação.</w:t>
      </w:r>
    </w:p>
    <w:p w:rsidR="006B5133" w:rsidRDefault="006B5133" w:rsidP="007C2A43">
      <w:pPr>
        <w:spacing w:line="240" w:lineRule="auto"/>
        <w:ind w:left="0" w:hanging="2"/>
        <w:jc w:val="both"/>
        <w:rPr>
          <w:color w:val="000000"/>
        </w:rPr>
      </w:pPr>
    </w:p>
    <w:p w:rsidR="006B5133" w:rsidRDefault="006B5133" w:rsidP="007C2A43">
      <w:pPr>
        <w:spacing w:line="240" w:lineRule="auto"/>
        <w:ind w:left="0" w:hanging="2"/>
        <w:jc w:val="both"/>
      </w:pPr>
    </w:p>
    <w:p w:rsidR="006B5133" w:rsidRDefault="007C2A43" w:rsidP="007C2A43">
      <w:pPr>
        <w:spacing w:line="240" w:lineRule="auto"/>
        <w:ind w:left="0" w:hanging="2"/>
        <w:jc w:val="center"/>
      </w:pPr>
      <w:r>
        <w:t xml:space="preserve">Sala das Sessões, 07 de </w:t>
      </w:r>
      <w:r>
        <w:t>outubro</w:t>
      </w:r>
      <w:r>
        <w:t xml:space="preserve"> de 2021.</w:t>
      </w:r>
    </w:p>
    <w:p w:rsidR="007C2A43" w:rsidRDefault="007C2A43" w:rsidP="007C2A43">
      <w:pPr>
        <w:spacing w:line="240" w:lineRule="auto"/>
        <w:ind w:left="0" w:hanging="2"/>
        <w:jc w:val="center"/>
      </w:pPr>
    </w:p>
    <w:p w:rsidR="006B5133" w:rsidRDefault="006B5133" w:rsidP="007C2A43">
      <w:pPr>
        <w:spacing w:line="240" w:lineRule="auto"/>
        <w:ind w:left="0" w:hanging="2"/>
        <w:jc w:val="center"/>
      </w:pPr>
    </w:p>
    <w:p w:rsidR="006B5133" w:rsidRDefault="007C2A43" w:rsidP="007C2A43">
      <w:pPr>
        <w:pStyle w:val="NormalWeb"/>
        <w:spacing w:before="0" w:beforeAutospacing="0" w:after="0" w:afterAutospacing="0" w:line="240" w:lineRule="auto"/>
        <w:ind w:left="0" w:hanging="2"/>
        <w:jc w:val="center"/>
      </w:pPr>
      <w:r>
        <w:t>___________</w:t>
      </w:r>
      <w:r>
        <w:t>___________________</w:t>
      </w:r>
    </w:p>
    <w:p w:rsidR="006B5133" w:rsidRDefault="007C2A43" w:rsidP="007C2A43">
      <w:pPr>
        <w:pStyle w:val="NormalWeb"/>
        <w:spacing w:before="0" w:beforeAutospacing="0" w:after="0" w:afterAutospacing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Iza Vicente</w:t>
      </w:r>
    </w:p>
    <w:p w:rsidR="006B5133" w:rsidRDefault="007C2A43" w:rsidP="007C2A43">
      <w:pPr>
        <w:pStyle w:val="NormalWeb"/>
        <w:spacing w:before="0" w:beforeAutospacing="0" w:after="0" w:afterAutospacing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Vereadora</w:t>
      </w:r>
    </w:p>
    <w:p w:rsidR="006B5133" w:rsidRDefault="006B5133" w:rsidP="007C2A43">
      <w:pPr>
        <w:pStyle w:val="NormalWeb"/>
        <w:spacing w:before="0" w:beforeAutospacing="0" w:after="0" w:afterAutospacing="0" w:line="240" w:lineRule="auto"/>
        <w:ind w:left="0" w:hanging="2"/>
        <w:jc w:val="center"/>
      </w:pPr>
    </w:p>
    <w:p w:rsidR="006B5133" w:rsidRDefault="006B5133" w:rsidP="007C2A43">
      <w:pPr>
        <w:spacing w:line="240" w:lineRule="auto"/>
        <w:ind w:left="0" w:hanging="2"/>
        <w:jc w:val="center"/>
      </w:pPr>
    </w:p>
    <w:p w:rsidR="006B5133" w:rsidRDefault="007C2A43" w:rsidP="007C2A43">
      <w:pPr>
        <w:spacing w:line="240" w:lineRule="auto"/>
        <w:ind w:left="0" w:hanging="2"/>
        <w:jc w:val="center"/>
        <w:rPr>
          <w:b/>
          <w:u w:val="single"/>
        </w:rPr>
      </w:pPr>
      <w:r>
        <w:rPr>
          <w:b/>
          <w:u w:val="single"/>
        </w:rPr>
        <w:t>ASPECTO JURÍDICO-FORMAL</w:t>
      </w:r>
    </w:p>
    <w:p w:rsidR="006B5133" w:rsidRDefault="006B5133" w:rsidP="007C2A43">
      <w:pPr>
        <w:spacing w:line="240" w:lineRule="auto"/>
        <w:ind w:left="-2" w:firstLineChars="294" w:firstLine="708"/>
        <w:jc w:val="both"/>
        <w:rPr>
          <w:b/>
          <w:u w:val="single"/>
        </w:rPr>
      </w:pPr>
    </w:p>
    <w:p w:rsidR="006B5133" w:rsidRDefault="007C2A43" w:rsidP="007C2A43">
      <w:pPr>
        <w:spacing w:line="240" w:lineRule="auto"/>
        <w:ind w:left="-2" w:firstLineChars="294" w:firstLine="706"/>
        <w:jc w:val="both"/>
      </w:pPr>
      <w:r>
        <w:t>Sabe-se que matéria referente à provimento de cargos públicos é de iniciativa privativa do Chefe do Poder Executivo, na forma do art. 61, §1º, II, “a” da Constituição Federal de 1988. Com isso em vista, seria possível deduzir que o projeto de lei em anális</w:t>
      </w:r>
      <w:r>
        <w:t xml:space="preserve">e estaria no escopo da competência legislativa privativa do Executivo, no entanto, não é o caso. </w:t>
      </w:r>
    </w:p>
    <w:p w:rsidR="006B5133" w:rsidRDefault="007C2A43" w:rsidP="007C2A43">
      <w:pPr>
        <w:spacing w:line="240" w:lineRule="auto"/>
        <w:ind w:left="-2" w:firstLineChars="294" w:firstLine="706"/>
        <w:jc w:val="both"/>
      </w:pPr>
      <w:r>
        <w:t>Isso porque, diferente do que aparenta ser em primeira análise, não é de provimento de cargos públicos que este projeto de lei dispõe. Com efeito, ao vedar a nomeação de agentes públicos, no âmbito da Administração Direta e Indireta do município, condenado</w:t>
      </w:r>
      <w:r>
        <w:t xml:space="preserve">s por crime de racismo ou injúria racial, a presente propositura objetiva aplicar regra geral de moralidade administrativa. </w:t>
      </w:r>
    </w:p>
    <w:p w:rsidR="006B5133" w:rsidRDefault="007C2A43" w:rsidP="007C2A43">
      <w:pPr>
        <w:spacing w:line="240" w:lineRule="auto"/>
        <w:ind w:left="-2" w:firstLineChars="294" w:firstLine="706"/>
        <w:jc w:val="both"/>
      </w:pPr>
      <w:r>
        <w:t xml:space="preserve">Neste sentido, pretende-se concretizar os princípios previstos no </w:t>
      </w:r>
      <w:r>
        <w:rPr>
          <w:i/>
        </w:rPr>
        <w:t>caput</w:t>
      </w:r>
      <w:r>
        <w:t xml:space="preserve"> do art. 37 da Constituição Federal, primando pelo princípio</w:t>
      </w:r>
      <w:r>
        <w:t xml:space="preserve"> da moralidade no setor público, cuja aplicação independe de lei em sentido estrito, por ser norma de eficácia plena, com aplicabilidade imediata e que não admite interpretação restritiva. Por conseguinte, neste caso, não subsiste a iniciativa legislativa </w:t>
      </w:r>
      <w:r>
        <w:t xml:space="preserve">privativa. </w:t>
      </w:r>
    </w:p>
    <w:p w:rsidR="006B5133" w:rsidRDefault="007C2A43" w:rsidP="007C2A43">
      <w:pPr>
        <w:spacing w:line="240" w:lineRule="auto"/>
        <w:ind w:left="-2" w:firstLineChars="294" w:firstLine="706"/>
        <w:jc w:val="both"/>
      </w:pPr>
      <w:r>
        <w:t>Este é o entendimento do Supremo Tribunal Federal, firmado no julgamento do RE 570392/RJ, que deu origem ao Tema 29 de Repercussão Geral. Na ocasião, fora analisada lei de iniciativa do legislativo que proibia a prática de nepotismo na administ</w:t>
      </w:r>
      <w:r>
        <w:t>ração pública municipal, e fixou o seguinte fundamento:</w:t>
      </w:r>
    </w:p>
    <w:p w:rsidR="006B5133" w:rsidRDefault="007C2A43" w:rsidP="007C2A43">
      <w:pPr>
        <w:spacing w:line="240" w:lineRule="auto"/>
        <w:ind w:left="-2" w:firstLineChars="294" w:firstLine="706"/>
        <w:jc w:val="both"/>
      </w:pPr>
      <w:r>
        <w:t xml:space="preserve">Se os princípios do art. 37, </w:t>
      </w:r>
      <w:r>
        <w:rPr>
          <w:i/>
        </w:rPr>
        <w:t>caput</w:t>
      </w:r>
      <w:r>
        <w:t xml:space="preserve">, da Constituição da República sequer precisam de lei para serem obrigatoriamente observados, não há vício de iniciativa legislativa em norma editada com o objetivo </w:t>
      </w:r>
      <w:r>
        <w:t xml:space="preserve">de dar eficácia específica àqueles princípios e estabelecer casos nos quais, inquestionavelmente, configurariam comportamentos administrativamente imorais ou não-isonômicos. </w:t>
      </w:r>
      <w:r>
        <w:t>(STF - RE: 570392 RS - RIO GRANDE DO SUL, Relator: Min. CÁRMEN LÚCIA, Data de Julg</w:t>
      </w:r>
      <w:r>
        <w:t>amento: 11/12/2014, Tribunal Pleno, Data de Publicação: DJe-032 19-02-2015)</w:t>
      </w:r>
    </w:p>
    <w:p w:rsidR="006B5133" w:rsidRDefault="007C2A43" w:rsidP="007C2A43">
      <w:pPr>
        <w:spacing w:line="240" w:lineRule="auto"/>
        <w:ind w:left="-2" w:firstLineChars="294" w:firstLine="706"/>
        <w:jc w:val="both"/>
      </w:pPr>
      <w:r>
        <w:t xml:space="preserve">Observa-se que o </w:t>
      </w:r>
      <w:proofErr w:type="spellStart"/>
      <w:r>
        <w:rPr>
          <w:i/>
        </w:rPr>
        <w:t>leading</w:t>
      </w:r>
      <w:proofErr w:type="spellEnd"/>
      <w:r>
        <w:rPr>
          <w:i/>
        </w:rPr>
        <w:t xml:space="preserve"> case</w:t>
      </w:r>
      <w:r>
        <w:t xml:space="preserve"> mencionado acima possui identidade fático-jurídica com o projeto de lei ora proposto. Portanto, aqui não há vício formal de inconstitucionalidade, t</w:t>
      </w:r>
      <w:r>
        <w:t xml:space="preserve">endo em vista que não há iniciativa privativa legislativa a ser observada nesta hipótese. </w:t>
      </w:r>
    </w:p>
    <w:p w:rsidR="006B5133" w:rsidRDefault="007C2A43" w:rsidP="007C2A43">
      <w:pPr>
        <w:spacing w:line="240" w:lineRule="auto"/>
        <w:ind w:left="-2" w:firstLineChars="294" w:firstLine="706"/>
        <w:jc w:val="both"/>
      </w:pPr>
      <w:r>
        <w:t>Em decisão recente, o STF reiterou tal entendimento, ao julgar a constitucionalidade de lei de iniciativa do legislativo do Município de Valinhos que veda a nomeação</w:t>
      </w:r>
      <w:r>
        <w:t>, pela administração pública direta e indireta, de pessoas condenadas pela Lei Maria da Penha. Assim ficou assentado:</w:t>
      </w:r>
    </w:p>
    <w:p w:rsidR="006B5133" w:rsidRDefault="007C2A43" w:rsidP="007C2A43">
      <w:pPr>
        <w:spacing w:line="240" w:lineRule="auto"/>
        <w:ind w:left="-2" w:firstLineChars="294" w:firstLine="706"/>
        <w:jc w:val="both"/>
      </w:pPr>
      <w:r>
        <w:t>A regra relativa a iniciativa legislativa aplica-se apenas aos casos em que a obrigação imposta por lei não deriva automaticamente da pró</w:t>
      </w:r>
      <w:r>
        <w:t>pria Constituição. Tal interpretação deve ainda ser corroborada pelo disposto no art. 5º, §1º, da CRFB, segundo o qual os direitos e garantias previstos na Constituição têm aplicação imediata. Nesses termos, tratando-se o diploma impugnado na origem de mat</w:t>
      </w:r>
      <w:r>
        <w:t xml:space="preserve">éria decorrente diretamente do texto constitucional, não subsiste o vício de iniciativa legislativa.  </w:t>
      </w:r>
      <w:r>
        <w:t>(STF-RE: 1308883 SP 2280914-72.2019.8.26.0000, Relator: EDSON FACHIN, Data de Julgamento: 07/04/2021, Data de Publicação: 13/04/2021)</w:t>
      </w:r>
    </w:p>
    <w:p w:rsidR="006B5133" w:rsidRDefault="007C2A43" w:rsidP="007C2A43">
      <w:pPr>
        <w:spacing w:line="240" w:lineRule="auto"/>
        <w:ind w:left="-2" w:firstLineChars="294" w:firstLine="706"/>
        <w:jc w:val="both"/>
      </w:pPr>
      <w:r>
        <w:t>Mais uma vez, nota</w:t>
      </w:r>
      <w:r>
        <w:t>-se a similitude entre a norma validada pela Suprema Corte e a propositura aqui apresentada. Deste modo, não há vício de iniciativa na presente proposta, de modo que não se encontra inconstitucionalidade formal que impeça seu regular procedimento legislati</w:t>
      </w:r>
      <w:r>
        <w:t xml:space="preserve">vo. Além disso, este projeto de lei tem seu conteúdo legal e constitucionalmente fundamentado, de modo que deve prosseguir à apreciação, considerando sua relevância social, conforme delineado abaixo. </w:t>
      </w:r>
    </w:p>
    <w:p w:rsidR="006B5133" w:rsidRDefault="006B5133" w:rsidP="007C2A43">
      <w:pPr>
        <w:spacing w:line="240" w:lineRule="auto"/>
        <w:ind w:left="-2" w:firstLineChars="294" w:firstLine="706"/>
        <w:jc w:val="center"/>
      </w:pPr>
    </w:p>
    <w:p w:rsidR="007C2A43" w:rsidRDefault="007C2A43" w:rsidP="007C2A43">
      <w:pPr>
        <w:spacing w:line="240" w:lineRule="auto"/>
        <w:ind w:left="-2" w:firstLineChars="294" w:firstLine="708"/>
        <w:jc w:val="center"/>
        <w:rPr>
          <w:b/>
          <w:u w:val="single"/>
        </w:rPr>
      </w:pPr>
    </w:p>
    <w:p w:rsidR="006B5133" w:rsidRPr="007C2A43" w:rsidRDefault="007C2A43" w:rsidP="007C2A43">
      <w:pPr>
        <w:spacing w:line="240" w:lineRule="auto"/>
        <w:ind w:leftChars="0" w:left="0" w:firstLineChars="0" w:firstLine="0"/>
        <w:jc w:val="center"/>
        <w:rPr>
          <w:b/>
          <w:u w:val="single"/>
        </w:rPr>
      </w:pPr>
      <w:r w:rsidRPr="007C2A43">
        <w:rPr>
          <w:b/>
          <w:u w:val="single"/>
        </w:rPr>
        <w:t>JUSTIFICATIVA</w:t>
      </w:r>
    </w:p>
    <w:p w:rsidR="006B5133" w:rsidRDefault="006B5133" w:rsidP="007C2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4" w:firstLine="706"/>
        <w:jc w:val="both"/>
        <w:rPr>
          <w:color w:val="000000"/>
          <w:highlight w:val="white"/>
        </w:rPr>
      </w:pPr>
    </w:p>
    <w:p w:rsidR="006B5133" w:rsidRDefault="007C2A43" w:rsidP="007C2A43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-2" w:firstLineChars="294" w:firstLine="706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A administração pública tem o dever de ser composta por pessoas do mais alto gabarito técnico, ético e moral, uma vez que os cargos de provimento através de concurso público ou mesmo em comissão possuem o objetivo de prestar assistência proba e eficiente à</w:t>
      </w:r>
      <w:r>
        <w:rPr>
          <w:color w:val="000000"/>
          <w:highlight w:val="white"/>
        </w:rPr>
        <w:t xml:space="preserve"> sociedade. </w:t>
      </w:r>
    </w:p>
    <w:p w:rsidR="006B5133" w:rsidRDefault="007C2A43" w:rsidP="007C2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4" w:firstLine="706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Nesse sentido, o presente projeto de </w:t>
      </w:r>
      <w:r>
        <w:rPr>
          <w:highlight w:val="white"/>
        </w:rPr>
        <w:t>lei</w:t>
      </w:r>
      <w:r>
        <w:rPr>
          <w:color w:val="000000"/>
          <w:highlight w:val="white"/>
        </w:rPr>
        <w:t xml:space="preserve"> ratifica o compromisso do Poder </w:t>
      </w:r>
      <w:r>
        <w:rPr>
          <w:highlight w:val="white"/>
        </w:rPr>
        <w:t>Público</w:t>
      </w:r>
      <w:r>
        <w:rPr>
          <w:color w:val="000000"/>
          <w:highlight w:val="white"/>
        </w:rPr>
        <w:t xml:space="preserve"> em ser ocupado por cidadãos que não contenham nenhum tipo de restrição pessoal ou profissional. São estes os motivos que justificam a proposta </w:t>
      </w:r>
      <w:r>
        <w:rPr>
          <w:color w:val="000000"/>
          <w:highlight w:val="white"/>
        </w:rPr>
        <w:t>que submeto ao cri</w:t>
      </w:r>
      <w:r>
        <w:rPr>
          <w:color w:val="000000"/>
          <w:highlight w:val="white"/>
        </w:rPr>
        <w:t>tério dos ilustres Vereadores, que certamente saberão reconhecer a necessidade da sua aprovação.</w:t>
      </w:r>
    </w:p>
    <w:p w:rsidR="006B5133" w:rsidRDefault="007C2A43" w:rsidP="007C2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4" w:firstLine="706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A injúria racial está prevista no artigo 140, parágrafo 3º, do Código Penal, que estabelece a pena de reclusão de um a três anos e multa, além da pena correspo</w:t>
      </w:r>
      <w:r>
        <w:rPr>
          <w:color w:val="000000"/>
          <w:highlight w:val="white"/>
        </w:rPr>
        <w:t>ndente à violência, para quem cometê-la. De acordo com o dispositivo, injuriar seria ofender a dignidade ou o decoro utilizando elementos de raça, cor, etnia, religião, origem ou condição de pessoa idosa ou portadora de deficiência.</w:t>
      </w:r>
    </w:p>
    <w:p w:rsidR="006B5133" w:rsidRDefault="007C2A43" w:rsidP="007C2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4" w:firstLine="706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Já o crime de racismo, </w:t>
      </w:r>
      <w:r>
        <w:rPr>
          <w:color w:val="000000"/>
          <w:highlight w:val="white"/>
        </w:rPr>
        <w:t>previsto na Lei nº 7.716/1989, implica em conduta discriminatória dirigida a um determinado grupo ou coletividade e, geralmente, refere-se a crimes mais amplos. Nesses casos, cabe ao Ministério Público a legitimidade para processar o ofensor. A lei enquadr</w:t>
      </w:r>
      <w:r>
        <w:rPr>
          <w:color w:val="000000"/>
          <w:highlight w:val="white"/>
        </w:rPr>
        <w:t xml:space="preserve">a uma série de situações como crime de racismo, por exemplo, recusar ou impedir acesso a estabelecimento comercial, impedir o acesso às entradas sociais em edifícios públicos ou residenciais e elevadores ou às escadas de acesso, negar ou obstar emprego em </w:t>
      </w:r>
      <w:r>
        <w:rPr>
          <w:color w:val="000000"/>
          <w:highlight w:val="white"/>
        </w:rPr>
        <w:t>empresa privada, entre outros. São mais comuns no País os casos enquadrados no artigo 20º da legislação, que consiste em praticar, induzir ou incitar a discriminação ou preconceito de raça, cor, etnia, religião ou procedência nacional.</w:t>
      </w:r>
    </w:p>
    <w:p w:rsidR="006B5133" w:rsidRDefault="007C2A43" w:rsidP="007C2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4" w:firstLine="706"/>
        <w:jc w:val="both"/>
        <w:rPr>
          <w:highlight w:val="white"/>
        </w:rPr>
      </w:pPr>
      <w:r>
        <w:rPr>
          <w:highlight w:val="white"/>
        </w:rPr>
        <w:t>Embora se trate de t</w:t>
      </w:r>
      <w:r>
        <w:rPr>
          <w:highlight w:val="white"/>
        </w:rPr>
        <w:t>ipificação penal antiga, ainda subsiste uma subnotificação dos registros criminais sobre discriminação e injúria racial, como demonstra o Anuário Brasileiro de Segurança Pública (2021). Apesar da falta de notificação, os casos de discriminação racial são c</w:t>
      </w:r>
      <w:r>
        <w:rPr>
          <w:highlight w:val="white"/>
        </w:rPr>
        <w:t xml:space="preserve">orriqueiros em nosso país, cuja população é formada por 56% de pretos e pardos (dados do IBGE). </w:t>
      </w:r>
    </w:p>
    <w:p w:rsidR="006B5133" w:rsidRDefault="007C2A43" w:rsidP="007C2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4" w:firstLine="706"/>
        <w:jc w:val="both"/>
        <w:rPr>
          <w:highlight w:val="white"/>
        </w:rPr>
      </w:pPr>
      <w:r>
        <w:rPr>
          <w:highlight w:val="white"/>
        </w:rPr>
        <w:t>Pesquisa do Instituto Locomotiva (2021) aponta que 84% da população considera o Brasil um país preconceituoso, por outro lado, apenas 4% se consideram uma pess</w:t>
      </w:r>
      <w:r>
        <w:rPr>
          <w:highlight w:val="white"/>
        </w:rPr>
        <w:t xml:space="preserve">oa preconceituosa. Além disso, a referida pesquisa aponta que 61% da população brasileira já presenciou discriminação, seja em ambiente de trabalho ou estabelecimentos comerciais em geral. </w:t>
      </w:r>
    </w:p>
    <w:p w:rsidR="006B5133" w:rsidRDefault="007C2A43" w:rsidP="007C2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4" w:firstLine="706"/>
        <w:jc w:val="both"/>
        <w:rPr>
          <w:highlight w:val="white"/>
        </w:rPr>
      </w:pPr>
      <w:r>
        <w:rPr>
          <w:highlight w:val="white"/>
        </w:rPr>
        <w:t>Nesse sentido, o presente projeto de lei é um reforço à relevância</w:t>
      </w:r>
      <w:r>
        <w:rPr>
          <w:highlight w:val="white"/>
        </w:rPr>
        <w:t xml:space="preserve"> </w:t>
      </w:r>
      <w:proofErr w:type="spellStart"/>
      <w:r>
        <w:rPr>
          <w:highlight w:val="white"/>
        </w:rPr>
        <w:t>sócio-juríd</w:t>
      </w:r>
      <w:bookmarkStart w:id="0" w:name="_GoBack"/>
      <w:bookmarkEnd w:id="0"/>
      <w:r>
        <w:rPr>
          <w:highlight w:val="white"/>
        </w:rPr>
        <w:t>ica</w:t>
      </w:r>
      <w:proofErr w:type="spellEnd"/>
      <w:r>
        <w:rPr>
          <w:highlight w:val="white"/>
        </w:rPr>
        <w:t xml:space="preserve"> da tipificação do crime de racismo como inibidor aos atos discriminatórios, de modo que se pretende corroborar sua eficácia e intensificar a sua aplicabilidade ao ampliar seus efeitos colaterais àqueles que sejam penalizados nestes termos. </w:t>
      </w:r>
    </w:p>
    <w:p w:rsidR="006B5133" w:rsidRDefault="006B5133" w:rsidP="007C2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4" w:firstLine="706"/>
        <w:jc w:val="both"/>
        <w:rPr>
          <w:highlight w:val="white"/>
        </w:rPr>
      </w:pPr>
    </w:p>
    <w:p w:rsidR="006B5133" w:rsidRDefault="006B5133" w:rsidP="007C2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4" w:firstLine="706"/>
        <w:jc w:val="both"/>
        <w:rPr>
          <w:highlight w:val="white"/>
        </w:rPr>
      </w:pPr>
    </w:p>
    <w:p w:rsidR="006B5133" w:rsidRDefault="006B5133" w:rsidP="007C2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4" w:firstLine="706"/>
        <w:jc w:val="both"/>
        <w:rPr>
          <w:highlight w:val="white"/>
        </w:rPr>
      </w:pPr>
    </w:p>
    <w:p w:rsidR="006B5133" w:rsidRDefault="006B5133" w:rsidP="007C2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4" w:firstLine="706"/>
        <w:jc w:val="both"/>
        <w:rPr>
          <w:color w:val="000000"/>
        </w:rPr>
      </w:pPr>
    </w:p>
    <w:sectPr w:rsidR="006B5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675" w:right="1701" w:bottom="1857" w:left="1700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C2A43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7C2A4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A43" w:rsidRDefault="007C2A4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133" w:rsidRDefault="007C2A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Palácio do Legislativo Natálio Salvador Antunes</w:t>
    </w:r>
  </w:p>
  <w:p w:rsidR="006B5133" w:rsidRDefault="007C2A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Rodovia </w:t>
    </w:r>
    <w:proofErr w:type="spellStart"/>
    <w:r>
      <w:rPr>
        <w:rFonts w:ascii="Verdana" w:eastAsia="Verdana" w:hAnsi="Verdana" w:cs="Verdana"/>
        <w:color w:val="000000"/>
        <w:sz w:val="16"/>
        <w:szCs w:val="16"/>
      </w:rPr>
      <w:t>Christino</w:t>
    </w:r>
    <w:proofErr w:type="spellEnd"/>
    <w:r>
      <w:rPr>
        <w:rFonts w:ascii="Verdana" w:eastAsia="Verdana" w:hAnsi="Verdana" w:cs="Verdana"/>
        <w:color w:val="000000"/>
        <w:sz w:val="16"/>
        <w:szCs w:val="16"/>
      </w:rPr>
      <w:t xml:space="preserve"> José da Silva Júnior, s/n. Virgem Santa</w:t>
    </w:r>
  </w:p>
  <w:p w:rsidR="006B5133" w:rsidRDefault="007C2A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Macaé-RJ. CEP: 27.948-010                                 </w:t>
    </w:r>
  </w:p>
  <w:p w:rsidR="006B5133" w:rsidRDefault="007C2A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Telefone/Fax (022) 2772-4681</w:t>
    </w:r>
  </w:p>
  <w:p w:rsidR="006B5133" w:rsidRDefault="007C2A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hyperlink r:id="rId1">
      <w:r>
        <w:rPr>
          <w:rFonts w:ascii="Verdana" w:eastAsia="Verdana" w:hAnsi="Verdana" w:cs="Verdana"/>
          <w:color w:val="0563C1"/>
          <w:sz w:val="16"/>
          <w:szCs w:val="16"/>
          <w:u w:val="single"/>
        </w:rPr>
        <w:t>secretaria@cmmace.rj.gov.br</w:t>
      </w:r>
    </w:hyperlink>
  </w:p>
  <w:p w:rsidR="006B5133" w:rsidRDefault="006B51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6B5133" w:rsidRDefault="006B51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6B5133" w:rsidRDefault="007C2A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995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A43" w:rsidRDefault="007C2A4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C2A43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7C2A4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A43" w:rsidRDefault="007C2A4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133" w:rsidRDefault="007C2A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B5133" w:rsidRDefault="007C2A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6B5133" w:rsidRDefault="007C2A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6B5133" w:rsidRDefault="007C2A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6B5133" w:rsidRDefault="007C2A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6B5133" w:rsidRDefault="006B51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7C2A43" w:rsidRDefault="007C2A4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A43" w:rsidRDefault="007C2A43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33"/>
    <w:rsid w:val="006B5133"/>
    <w:rsid w:val="007C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80BE1-0B00-404D-83C5-8579083E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sz w:val="36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bCs/>
      <w:sz w:val="28"/>
      <w:szCs w:val="28"/>
    </w:rPr>
  </w:style>
  <w:style w:type="paragraph" w:customStyle="1" w:styleId="CabealhoCabealhosuperiorHeading1a">
    <w:name w:val="Cabeçalho;Cabeçalho superior;Heading 1a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qFormat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bealhoCharCabealhosuperiorCharHeading1aChar">
    <w:name w:val="Cabeçalho Char;Cabeçalho superior Char;Heading 1a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justificado">
    <w:name w:val="textojustificado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mceclass">
    <w:name w:val="mceclass"/>
    <w:basedOn w:val="Normal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C2A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A43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lkKUzq8OGGRsuRWpU52OHxQtIg==">AMUW2mVYcu3cEf/S9dEN1Pootp4s59oP+escrfBYjlrdHYF2BJR3j9ix02w7njZxAtA1Ut0doNoei7iJRBGLF6lFMrcM4M/OLz0RgjTMhUOhXL2eHpoQtFA=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1315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Gabriel Alegre Silva</cp:lastModifiedBy>
  <cp:revision>2</cp:revision>
  <dcterms:created xsi:type="dcterms:W3CDTF">2021-10-13T12:36:00Z</dcterms:created>
  <dcterms:modified xsi:type="dcterms:W3CDTF">2021-10-13T12:36:00Z</dcterms:modified>
</cp:coreProperties>
</file>