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709" w:rsidRDefault="00CA4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033CCC" w:rsidRDefault="00451DF5" w:rsidP="0003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LEI </w:t>
      </w:r>
      <w:r w:rsidR="00C432A8">
        <w:rPr>
          <w:b/>
          <w:sz w:val="28"/>
          <w:szCs w:val="28"/>
        </w:rPr>
        <w:t>DO EXECUTIVO Nº 014</w:t>
      </w:r>
      <w:r w:rsidR="00033CCC">
        <w:rPr>
          <w:b/>
          <w:sz w:val="28"/>
          <w:szCs w:val="28"/>
        </w:rPr>
        <w:t>/2023.</w:t>
      </w:r>
    </w:p>
    <w:p w:rsidR="00C432A8" w:rsidRDefault="00C432A8" w:rsidP="00C432A8">
      <w:pPr>
        <w:jc w:val="both"/>
        <w:rPr>
          <w:color w:val="212529"/>
        </w:rPr>
      </w:pPr>
    </w:p>
    <w:p w:rsidR="00033CCC" w:rsidRPr="00667624" w:rsidRDefault="00C432A8" w:rsidP="00033CCC">
      <w:pPr>
        <w:ind w:firstLine="709"/>
        <w:jc w:val="both"/>
        <w:rPr>
          <w:color w:val="212529"/>
        </w:rPr>
      </w:pPr>
      <w:r>
        <w:rPr>
          <w:color w:val="212529"/>
        </w:rPr>
        <w:t>TRATA-SE DE PROJETO DE LEI NO CUMPRIMENTO DAS DETERMINAÇÕES LEGAIS, EM CONSONÂNCIA COM A LEGISLAÇÃO PÁTRIA SOBRE A MATÉRIA NO TOCANTE À ABERTURA DE CRÉDITOS ORÇAMENTÁRIOS ADICIONAIS, EM ESPECIAL O DISPOSTO NO ART. 42 DA LEI FEDERAL N° 4.320/1964, SENDO OS RECURSOS APURADOS DESTINADOS À SECRETARIA MUNICIPAL DE MOBILIDADE URBANA, PARA POSTERIOR DESTINAÇÃO DO PODER EXECUTIVO MUNICIPAL</w:t>
      </w:r>
      <w:r w:rsidR="00033CCC">
        <w:rPr>
          <w:color w:val="212529"/>
        </w:rPr>
        <w:t>.</w:t>
      </w:r>
    </w:p>
    <w:p w:rsidR="00033CCC" w:rsidRPr="00667624" w:rsidRDefault="00033CCC" w:rsidP="00033CCC">
      <w:pPr>
        <w:ind w:firstLine="709"/>
        <w:jc w:val="center"/>
        <w:rPr>
          <w:b/>
        </w:rPr>
      </w:pPr>
    </w:p>
    <w:p w:rsidR="009F2359" w:rsidRDefault="00033CCC" w:rsidP="00C432A8">
      <w:pPr>
        <w:ind w:firstLine="709"/>
        <w:jc w:val="both"/>
      </w:pPr>
      <w:r w:rsidRPr="00667624">
        <w:t xml:space="preserve">Nos termos do artigo </w:t>
      </w:r>
      <w:r>
        <w:t>26,</w:t>
      </w:r>
      <w:r w:rsidRPr="00667624">
        <w:t xml:space="preserve"> do Regimento Interno, compete à COMISSÃO PERMANENTE DE CONSTITUIÇÃO, JUSTIÇA, REDAÇÃO E GARANTIAS FUNDAMENTAIS dar parecer fundamentado sobre as proposições elencadas no inciso “I “ ao “III” do artigo supramencionado.</w:t>
      </w:r>
    </w:p>
    <w:p w:rsidR="00C432A8" w:rsidRPr="009F2359" w:rsidRDefault="00C432A8" w:rsidP="00C432A8">
      <w:pPr>
        <w:ind w:firstLine="709"/>
        <w:jc w:val="both"/>
      </w:pPr>
    </w:p>
    <w:p w:rsidR="00033CCC" w:rsidRDefault="00033CCC" w:rsidP="00033CCC">
      <w:pPr>
        <w:ind w:firstLine="709"/>
        <w:jc w:val="both"/>
      </w:pPr>
      <w:r w:rsidRPr="00667624">
        <w:t xml:space="preserve">Tendo em vista que o referido projeto de Lei </w:t>
      </w:r>
      <w:r>
        <w:t>Executivo</w:t>
      </w:r>
      <w:r w:rsidRPr="00667624">
        <w:t xml:space="preserve"> versa a</w:t>
      </w:r>
      <w:r>
        <w:t>dequar a legi</w:t>
      </w:r>
      <w:r w:rsidR="00C432A8">
        <w:t>slação municipal à aplicação do disposto no art. 42 da Lei 4.321/1964</w:t>
      </w:r>
      <w:r>
        <w:t xml:space="preserve"> no âmbito da Administração Pública Municipal, considerando </w:t>
      </w:r>
      <w:r w:rsidR="00C432A8">
        <w:t xml:space="preserve">ainda </w:t>
      </w:r>
      <w:r w:rsidR="004D0195">
        <w:t xml:space="preserve">que </w:t>
      </w:r>
      <w:r w:rsidR="00C432A8">
        <w:t>os recursos</w:t>
      </w:r>
      <w:r w:rsidR="004D0195">
        <w:t xml:space="preserve"> estão à disposição e a demanda do Poder Executivo de adquirir recursos imediatos, com o intuito de conseguir suprir seus encargos</w:t>
      </w:r>
      <w:r w:rsidRPr="00667624">
        <w:t>.</w:t>
      </w:r>
    </w:p>
    <w:p w:rsidR="009F2359" w:rsidRDefault="009F2359" w:rsidP="00033CCC">
      <w:pPr>
        <w:ind w:firstLine="709"/>
        <w:jc w:val="both"/>
      </w:pPr>
    </w:p>
    <w:p w:rsidR="00C569D0" w:rsidRPr="00033CCC" w:rsidRDefault="00C569D0" w:rsidP="00033CCC">
      <w:pPr>
        <w:ind w:firstLine="709"/>
        <w:jc w:val="both"/>
      </w:pPr>
      <w:r w:rsidRPr="00667624">
        <w:t>Assim, estando a matéria em conformidade com os ditames legais, na forma do art. 26 c/c 35, inciso I do Regimento Interno</w:t>
      </w:r>
      <w:r w:rsidR="00825736" w:rsidRPr="00667624">
        <w:t xml:space="preserve">, </w:t>
      </w:r>
      <w:r w:rsidR="00FC1E8C" w:rsidRPr="00667624">
        <w:t>esta</w:t>
      </w:r>
      <w:r w:rsidRPr="00667624">
        <w:t xml:space="preserve"> Comissão </w:t>
      </w:r>
      <w:r w:rsidRPr="00667624">
        <w:rPr>
          <w:b/>
        </w:rPr>
        <w:t>opina</w:t>
      </w:r>
      <w:r w:rsidRPr="00667624">
        <w:t xml:space="preserve"> pelo </w:t>
      </w:r>
      <w:r w:rsidR="006D0502" w:rsidRPr="00667624">
        <w:rPr>
          <w:b/>
        </w:rPr>
        <w:t>PROSSEGUIMENTO</w:t>
      </w:r>
      <w:r w:rsidR="008D3097" w:rsidRPr="00667624">
        <w:rPr>
          <w:b/>
        </w:rPr>
        <w:t>,</w:t>
      </w:r>
      <w:r w:rsidRPr="00667624">
        <w:rPr>
          <w:b/>
        </w:rPr>
        <w:t xml:space="preserve"> </w:t>
      </w:r>
      <w:r w:rsidR="008833E6" w:rsidRPr="00667624">
        <w:t>e</w:t>
      </w:r>
      <w:r w:rsidRPr="00667624">
        <w:t xml:space="preserve"> consequente debate e votação em plenário desta Casa, uma vez que preenche os requisitos necessários para sua tramitação</w:t>
      </w:r>
      <w:r w:rsidR="00A84E7C" w:rsidRPr="00667624">
        <w:t>.</w:t>
      </w:r>
    </w:p>
    <w:p w:rsidR="00CA4709" w:rsidRPr="00667624" w:rsidRDefault="00CA4709">
      <w:pPr>
        <w:jc w:val="both"/>
        <w:rPr>
          <w:b/>
        </w:rPr>
      </w:pPr>
    </w:p>
    <w:p w:rsidR="00CA4709" w:rsidRPr="00667624" w:rsidRDefault="00CA4709">
      <w:pPr>
        <w:jc w:val="center"/>
        <w:rPr>
          <w:color w:val="000000"/>
        </w:rPr>
      </w:pPr>
    </w:p>
    <w:p w:rsidR="00CA4709" w:rsidRPr="00667624" w:rsidRDefault="00CA4709" w:rsidP="00451DF5">
      <w:pPr>
        <w:jc w:val="center"/>
        <w:rPr>
          <w:color w:val="000000"/>
        </w:rPr>
      </w:pPr>
      <w:r w:rsidRPr="00667624">
        <w:rPr>
          <w:color w:val="000000"/>
        </w:rPr>
        <w:t xml:space="preserve">Sala das Comissões, </w:t>
      </w:r>
      <w:r w:rsidR="004D0195">
        <w:rPr>
          <w:color w:val="000000"/>
        </w:rPr>
        <w:t>18</w:t>
      </w:r>
      <w:r w:rsidR="00821E39" w:rsidRPr="00667624">
        <w:rPr>
          <w:color w:val="000000"/>
        </w:rPr>
        <w:t xml:space="preserve"> </w:t>
      </w:r>
      <w:r w:rsidR="009D3471" w:rsidRPr="00667624">
        <w:rPr>
          <w:color w:val="000000"/>
        </w:rPr>
        <w:t xml:space="preserve">de </w:t>
      </w:r>
      <w:r w:rsidR="00410F73" w:rsidRPr="00667624">
        <w:rPr>
          <w:color w:val="000000"/>
        </w:rPr>
        <w:t>abril</w:t>
      </w:r>
      <w:r w:rsidR="006D4F85" w:rsidRPr="00667624">
        <w:rPr>
          <w:color w:val="000000"/>
        </w:rPr>
        <w:t xml:space="preserve"> de 2023</w:t>
      </w:r>
      <w:r w:rsidRPr="00667624">
        <w:rPr>
          <w:color w:val="000000"/>
        </w:rPr>
        <w:t>.</w:t>
      </w:r>
    </w:p>
    <w:p w:rsidR="00410F73" w:rsidRDefault="00410F73" w:rsidP="00451DF5">
      <w:pPr>
        <w:jc w:val="center"/>
        <w:rPr>
          <w:color w:val="000000"/>
          <w:szCs w:val="20"/>
        </w:rPr>
      </w:pPr>
    </w:p>
    <w:p w:rsidR="00451DF5" w:rsidRDefault="00451DF5" w:rsidP="00451DF5"/>
    <w:p w:rsidR="00CA4709" w:rsidRDefault="00CA4709">
      <w:pPr>
        <w:jc w:val="center"/>
      </w:pPr>
      <w:r>
        <w:t>Relator</w:t>
      </w:r>
    </w:p>
    <w:p w:rsidR="00CA4709" w:rsidRDefault="00410F73">
      <w:pPr>
        <w:jc w:val="center"/>
      </w:pPr>
      <w:r>
        <w:t>Marlon Lima</w:t>
      </w:r>
    </w:p>
    <w:p w:rsidR="004D0195" w:rsidRDefault="004D0195">
      <w:pPr>
        <w:jc w:val="center"/>
      </w:pPr>
    </w:p>
    <w:p w:rsidR="004D0195" w:rsidRDefault="004D0195">
      <w:pPr>
        <w:jc w:val="center"/>
      </w:pPr>
    </w:p>
    <w:p w:rsidR="004D0195" w:rsidRDefault="004D0195">
      <w:pPr>
        <w:jc w:val="center"/>
      </w:pPr>
    </w:p>
    <w:p w:rsidR="004D0195" w:rsidRDefault="004D0195">
      <w:pPr>
        <w:jc w:val="center"/>
      </w:pPr>
    </w:p>
    <w:p w:rsidR="004D0195" w:rsidRDefault="004D0195">
      <w:pPr>
        <w:jc w:val="center"/>
      </w:pPr>
    </w:p>
    <w:p w:rsidR="004D0195" w:rsidRDefault="004D0195">
      <w:pPr>
        <w:jc w:val="center"/>
      </w:pPr>
      <w:bookmarkStart w:id="0" w:name="_GoBack"/>
      <w:bookmarkEnd w:id="0"/>
    </w:p>
    <w:p w:rsidR="00626412" w:rsidRDefault="00626412">
      <w:pPr>
        <w:jc w:val="center"/>
      </w:pPr>
    </w:p>
    <w:p w:rsidR="00CA4709" w:rsidRDefault="00CA47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lastRenderedPageBreak/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Assinatura</w:t>
            </w: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</w:tbl>
    <w:p w:rsidR="00CA4709" w:rsidRDefault="00CA4709"/>
    <w:p w:rsidR="00CA4709" w:rsidRDefault="00CA4709" w:rsidP="00346FFE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CA47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EBC" w:rsidRDefault="00D30EBC">
      <w:r>
        <w:separator/>
      </w:r>
    </w:p>
  </w:endnote>
  <w:endnote w:type="continuationSeparator" w:id="0">
    <w:p w:rsidR="00D30EBC" w:rsidRDefault="00D3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59" w:rsidRDefault="009F2359">
    <w:pPr>
      <w:pStyle w:val="Rodap"/>
      <w:ind w:left="-1560"/>
    </w:pPr>
    <w:r>
      <w:rPr>
        <w:noProof/>
        <w:lang w:eastAsia="pt-BR"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59" w:rsidRDefault="009F23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EBC" w:rsidRDefault="00D30EBC">
      <w:r>
        <w:separator/>
      </w:r>
    </w:p>
  </w:footnote>
  <w:footnote w:type="continuationSeparator" w:id="0">
    <w:p w:rsidR="00D30EBC" w:rsidRDefault="00D30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59" w:rsidRDefault="009F2359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F2359" w:rsidRDefault="009F2359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9F2359" w:rsidRDefault="009F2359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9F2359" w:rsidRDefault="009F235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9F2359" w:rsidRDefault="009F235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9F2359" w:rsidRDefault="009F2359">
    <w:pPr>
      <w:pStyle w:val="Cabealho"/>
      <w:rPr>
        <w:rFonts w:ascii="Verdana" w:hAnsi="Verdana" w:cs="Verdana"/>
        <w:b/>
        <w:sz w:val="16"/>
        <w:szCs w:val="16"/>
      </w:rPr>
    </w:pPr>
  </w:p>
  <w:p w:rsidR="009F2359" w:rsidRDefault="009F2359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59" w:rsidRDefault="009F23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59"/>
    <w:rsid w:val="00033CCC"/>
    <w:rsid w:val="00043166"/>
    <w:rsid w:val="00066880"/>
    <w:rsid w:val="000B4FBD"/>
    <w:rsid w:val="000B6CAF"/>
    <w:rsid w:val="000D524F"/>
    <w:rsid w:val="000D6A32"/>
    <w:rsid w:val="000F3AF7"/>
    <w:rsid w:val="00105E09"/>
    <w:rsid w:val="001118DA"/>
    <w:rsid w:val="00117824"/>
    <w:rsid w:val="001618F8"/>
    <w:rsid w:val="00176262"/>
    <w:rsid w:val="00176519"/>
    <w:rsid w:val="001818D1"/>
    <w:rsid w:val="001C78F7"/>
    <w:rsid w:val="001F5572"/>
    <w:rsid w:val="002179DC"/>
    <w:rsid w:val="0025092A"/>
    <w:rsid w:val="00346FFE"/>
    <w:rsid w:val="003602A3"/>
    <w:rsid w:val="00382120"/>
    <w:rsid w:val="0038512F"/>
    <w:rsid w:val="003A79D1"/>
    <w:rsid w:val="003C3468"/>
    <w:rsid w:val="003F264C"/>
    <w:rsid w:val="00401F4B"/>
    <w:rsid w:val="00402527"/>
    <w:rsid w:val="00410F73"/>
    <w:rsid w:val="00451DF5"/>
    <w:rsid w:val="004A53EE"/>
    <w:rsid w:val="004D0195"/>
    <w:rsid w:val="004D1B8B"/>
    <w:rsid w:val="005A5CD2"/>
    <w:rsid w:val="005E0DAF"/>
    <w:rsid w:val="00626412"/>
    <w:rsid w:val="006624F2"/>
    <w:rsid w:val="00667624"/>
    <w:rsid w:val="0069714A"/>
    <w:rsid w:val="006C3C18"/>
    <w:rsid w:val="006D0502"/>
    <w:rsid w:val="006D4F85"/>
    <w:rsid w:val="006D586F"/>
    <w:rsid w:val="006D58FA"/>
    <w:rsid w:val="006D75EE"/>
    <w:rsid w:val="00715245"/>
    <w:rsid w:val="007437FD"/>
    <w:rsid w:val="007503FD"/>
    <w:rsid w:val="007D45E6"/>
    <w:rsid w:val="007E464A"/>
    <w:rsid w:val="00800AEB"/>
    <w:rsid w:val="008042E8"/>
    <w:rsid w:val="00821E39"/>
    <w:rsid w:val="00825736"/>
    <w:rsid w:val="008728D4"/>
    <w:rsid w:val="008833E6"/>
    <w:rsid w:val="008D3097"/>
    <w:rsid w:val="008E4CD7"/>
    <w:rsid w:val="009C6A14"/>
    <w:rsid w:val="009D3471"/>
    <w:rsid w:val="009D750C"/>
    <w:rsid w:val="009F2359"/>
    <w:rsid w:val="00A070C9"/>
    <w:rsid w:val="00A84E7C"/>
    <w:rsid w:val="00AA0D2E"/>
    <w:rsid w:val="00AA7CA8"/>
    <w:rsid w:val="00AB02C2"/>
    <w:rsid w:val="00AB10D7"/>
    <w:rsid w:val="00AB7EFC"/>
    <w:rsid w:val="00AD02F8"/>
    <w:rsid w:val="00B159DF"/>
    <w:rsid w:val="00B471D8"/>
    <w:rsid w:val="00B72D41"/>
    <w:rsid w:val="00B9189C"/>
    <w:rsid w:val="00BA4065"/>
    <w:rsid w:val="00BC1ABF"/>
    <w:rsid w:val="00BF2E86"/>
    <w:rsid w:val="00C432A8"/>
    <w:rsid w:val="00C569D0"/>
    <w:rsid w:val="00C63A03"/>
    <w:rsid w:val="00CA4709"/>
    <w:rsid w:val="00CB03B6"/>
    <w:rsid w:val="00CB27CF"/>
    <w:rsid w:val="00CC7577"/>
    <w:rsid w:val="00CD1C08"/>
    <w:rsid w:val="00D23D35"/>
    <w:rsid w:val="00D30EBC"/>
    <w:rsid w:val="00D36328"/>
    <w:rsid w:val="00D941F0"/>
    <w:rsid w:val="00DE2223"/>
    <w:rsid w:val="00E37B31"/>
    <w:rsid w:val="00E434E0"/>
    <w:rsid w:val="00EE462C"/>
    <w:rsid w:val="00F337CF"/>
    <w:rsid w:val="00F379E7"/>
    <w:rsid w:val="00F82259"/>
    <w:rsid w:val="00FC1E8C"/>
    <w:rsid w:val="00FC6777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F9DA6F8-B5E6-4D06-B852-DA06A5F1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3F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</Template>
  <TotalTime>5303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GabMarlon</cp:lastModifiedBy>
  <cp:revision>1</cp:revision>
  <cp:lastPrinted>2021-02-01T19:01:00Z</cp:lastPrinted>
  <dcterms:created xsi:type="dcterms:W3CDTF">2023-04-14T18:53:00Z</dcterms:created>
  <dcterms:modified xsi:type="dcterms:W3CDTF">2023-04-18T12:22:00Z</dcterms:modified>
</cp:coreProperties>
</file>