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0" w:before="90" w:line="240" w:lineRule="auto"/>
        <w:ind w:left="89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PERMANENTE DE TRANSPORTE E MOBILIDADE URBANA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1" w:line="240" w:lineRule="auto"/>
        <w:rPr>
          <w:rFonts w:ascii="Times New Roman" w:cs="Times New Roman" w:eastAsia="Times New Roman" w:hAnsi="Times New Roman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1" w:line="357" w:lineRule="auto"/>
        <w:ind w:left="105" w:right="-21.25984251968361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RELATORA: VEREADORA IZA VICENTE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5">
      <w:pPr>
        <w:widowControl w:val="0"/>
        <w:spacing w:before="1" w:line="357" w:lineRule="auto"/>
        <w:ind w:left="105" w:right="-21.25984251968361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Nº: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widowControl w:val="0"/>
        <w:spacing w:after="0" w:before="5" w:line="240" w:lineRule="auto"/>
        <w:ind w:left="105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DE LEI Nº L-159/2021</w:t>
      </w:r>
    </w:p>
    <w:p w:rsidR="00000000" w:rsidDel="00000000" w:rsidP="00000000" w:rsidRDefault="00000000" w:rsidRPr="00000000" w14:paraId="00000007">
      <w:pPr>
        <w:widowControl w:val="0"/>
        <w:spacing w:before="135" w:line="360" w:lineRule="auto"/>
        <w:ind w:left="10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ASSUNTO: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DÁ NOVA REDAÇÃO AO ART. 5º DA LEI MUNICIPAL Nº 2213, DE 08 DE MAIO DE 2002, QUE DISPÕE SOBRE O SERVIÇO DE TRANSPORTE SOB REGIME DE FRETAMENTO NO MUNICÍPIO DE MACAÉ. </w:t>
      </w:r>
    </w:p>
    <w:p w:rsidR="00000000" w:rsidDel="00000000" w:rsidP="00000000" w:rsidRDefault="00000000" w:rsidRPr="00000000" w14:paraId="00000008">
      <w:pPr>
        <w:widowControl w:val="0"/>
        <w:spacing w:line="274" w:lineRule="auto"/>
        <w:ind w:left="10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PROMOVENTE: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NILTON CÉSAR PEREIRA MOREIRA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360" w:lineRule="auto"/>
        <w:ind w:left="105" w:right="104" w:firstLine="852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Lei em epígrafe estabelece atribui nova redação ao art. 5º da Lei Municipal nº 2213, de 08 de maio de 2002, a qual dispõe sobre o serviço de transporte sob regime de fretamento no município de Macaé. Deste modo, a propositura em análise cria distinções entre os tipos de veículos e prevê critérios próprios para cada veículo no que tange à idade máxima para entrar no serviço e para operá-lo.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90" w:line="360" w:lineRule="auto"/>
        <w:ind w:left="105" w:right="99" w:firstLine="852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Comissão de Constituição, Justiça, Redação e Garantias Fundamentais, nos termos do art. 26, inciso I, do Regimento Interno,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emitiu parecer opinando pelo prosseguimento da matéria. </w:t>
      </w:r>
    </w:p>
    <w:p w:rsidR="00000000" w:rsidDel="00000000" w:rsidP="00000000" w:rsidRDefault="00000000" w:rsidRPr="00000000" w14:paraId="0000000E">
      <w:pPr>
        <w:widowControl w:val="0"/>
        <w:spacing w:before="90" w:line="360" w:lineRule="auto"/>
        <w:ind w:left="105" w:right="99" w:firstLine="8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Comissão de Finanças e Orçamento emitiu parecer opinando pela tramitação e prosseguimento da matéria. </w:t>
      </w:r>
    </w:p>
    <w:p w:rsidR="00000000" w:rsidDel="00000000" w:rsidP="00000000" w:rsidRDefault="00000000" w:rsidRPr="00000000" w14:paraId="0000000F">
      <w:pPr>
        <w:widowControl w:val="0"/>
        <w:spacing w:before="90" w:line="360" w:lineRule="auto"/>
        <w:ind w:left="105" w:right="99" w:firstLine="8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o relatório.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ind w:left="105" w:right="104" w:firstLine="8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360" w:lineRule="auto"/>
        <w:ind w:left="105" w:right="104" w:firstLine="8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ANÁLISE 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90" w:line="360" w:lineRule="auto"/>
        <w:ind w:left="105" w:right="101" w:firstLine="852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Comissão Permanente de Transporte e Mobilidade Urbana é um órgão instituído em razão do poder político da corporação legislativa. A presente comissão não legisla, não delibera, não administra e nem julga. Esta comissão se destina a investigar e apresentar conclusões, sugestões, concretizadas em parecer de caráter meramente informativo para o Plenário.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1" w:line="360" w:lineRule="auto"/>
        <w:ind w:left="105" w:right="99" w:firstLine="8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Entretanto, a Comissão Permanente de Transporte e Mobilidade Urbana dispõe de capacidade processual para postular em juízo em prol de seus direitos, prerrogativas e atribuições, quando negados ou violados pela Câmara, pela Mesa ou qualquer de seus membros.</w:t>
      </w:r>
    </w:p>
    <w:p w:rsidR="00000000" w:rsidDel="00000000" w:rsidP="00000000" w:rsidRDefault="00000000" w:rsidRPr="00000000" w14:paraId="00000016">
      <w:pPr>
        <w:widowControl w:val="0"/>
        <w:spacing w:line="360" w:lineRule="auto"/>
        <w:ind w:left="105" w:right="100" w:firstLine="8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Regimento Interno desta Casa Legislativa prevê, no art. 34-A, que é da competência da Comissão Permanente de Transporte e Mobilidade Urbana analisar as matérias que lhes forem submetidas.</w:t>
      </w:r>
    </w:p>
    <w:p w:rsidR="00000000" w:rsidDel="00000000" w:rsidP="00000000" w:rsidRDefault="00000000" w:rsidRPr="00000000" w14:paraId="00000017">
      <w:pPr>
        <w:widowControl w:val="0"/>
        <w:spacing w:line="360" w:lineRule="auto"/>
        <w:ind w:left="105" w:right="102" w:firstLine="8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modo a observar o devido Processo Legislativo, a presente proposição foi encaminhada a esta Comissão Permanente de Transporte e Mobilidade Urbana na data de 24/11/2021, para que seja confeccionado parecer fundamentado sobre o Projeto de Lei L- 159/2021 até a data de 08/12/2021, nos termos do art. 46 c/c art. 197 do Regimento Interno. Portanto, tempestivo o presente parecer.</w:t>
      </w:r>
    </w:p>
    <w:p w:rsidR="00000000" w:rsidDel="00000000" w:rsidP="00000000" w:rsidRDefault="00000000" w:rsidRPr="00000000" w14:paraId="00000018">
      <w:pPr>
        <w:widowControl w:val="0"/>
        <w:spacing w:line="360" w:lineRule="auto"/>
        <w:ind w:left="105" w:right="100" w:firstLine="8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Preliminarmente, salienta-se que a União, ancorada na competência que lhe foi atribuída no artigo 22, inciso XI, da Constituição Federal, editou a Lei Federal 9.503/97 (Código de Trânsito Brasileiro) que traz as diretrizes do trânsito brasileiro, elenca as atribuições das diversas autoridades e dos órgãos ligados ao trânsito, e estabelece as normas de conduta, as infrações e as respectivas penalidades para os diversos usuários do sistema. </w:t>
      </w:r>
    </w:p>
    <w:p w:rsidR="00000000" w:rsidDel="00000000" w:rsidP="00000000" w:rsidRDefault="00000000" w:rsidRPr="00000000" w14:paraId="00000019">
      <w:pPr>
        <w:widowControl w:val="0"/>
        <w:spacing w:line="360" w:lineRule="auto"/>
        <w:ind w:left="105" w:right="100" w:firstLine="8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tal modo, resta aos municípios a competência para legislar sobre a matéria quando o interesse for preponderantemente local, consoante o estabelecido no artigo 30, incisos I, II e V, da Constituição Federal. Sobre o assunto cabe-nos destacar a lição de Hely Lopes Meirelles:</w:t>
      </w:r>
    </w:p>
    <w:p w:rsidR="00000000" w:rsidDel="00000000" w:rsidP="00000000" w:rsidRDefault="00000000" w:rsidRPr="00000000" w14:paraId="0000001A">
      <w:pPr>
        <w:widowControl w:val="0"/>
        <w:spacing w:line="360" w:lineRule="auto"/>
        <w:ind w:left="2373" w:right="10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trânsito e o tráfego são daquelas matérias que admitem a tríplice regulamentação federal, estadual e municipal.</w:t>
      </w:r>
    </w:p>
    <w:p w:rsidR="00000000" w:rsidDel="00000000" w:rsidP="00000000" w:rsidRDefault="00000000" w:rsidRPr="00000000" w14:paraId="0000001B">
      <w:pPr>
        <w:widowControl w:val="0"/>
        <w:spacing w:line="360" w:lineRule="auto"/>
        <w:ind w:left="2373" w:right="101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362" w:lineRule="auto"/>
        <w:ind w:left="105" w:right="101" w:firstLine="8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Código de Trânsito Brasileiro, por seu turno, atribui ao Poder Público Municipal a competência para regulamentar e operar o trânsito no âmbito de sua circunscrição, nos moldes do seu artigo 21.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Desta forma, a propositura em exame está no escopo da atuação municipal no que tange à matéria de trânsito e não prejudica a matéria de transporte.</w:t>
      </w:r>
    </w:p>
    <w:p w:rsidR="00000000" w:rsidDel="00000000" w:rsidP="00000000" w:rsidRDefault="00000000" w:rsidRPr="00000000" w14:paraId="0000001D">
      <w:pPr>
        <w:widowControl w:val="0"/>
        <w:spacing w:line="274" w:lineRule="auto"/>
        <w:ind w:left="95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a análise.</w:t>
      </w:r>
    </w:p>
    <w:p w:rsidR="00000000" w:rsidDel="00000000" w:rsidP="00000000" w:rsidRDefault="00000000" w:rsidRPr="00000000" w14:paraId="0000001E">
      <w:pPr>
        <w:widowControl w:val="0"/>
        <w:spacing w:line="274" w:lineRule="auto"/>
        <w:ind w:left="95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74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VOTO</w:t>
      </w:r>
    </w:p>
    <w:p w:rsidR="00000000" w:rsidDel="00000000" w:rsidP="00000000" w:rsidRDefault="00000000" w:rsidRPr="00000000" w14:paraId="00000020">
      <w:pPr>
        <w:widowControl w:val="0"/>
        <w:spacing w:line="274" w:lineRule="auto"/>
        <w:ind w:left="958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before="132" w:line="360" w:lineRule="auto"/>
        <w:ind w:left="105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Tendo em vista os aspectos competentes a esta comissão,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VOTO PELO PROSSEGUIMENTO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Projeto de Lei nº. L 159/2021, salvo melhor juízo do soberano plenário.</w:t>
      </w:r>
    </w:p>
    <w:p w:rsidR="00000000" w:rsidDel="00000000" w:rsidP="00000000" w:rsidRDefault="00000000" w:rsidRPr="00000000" w14:paraId="00000022">
      <w:pPr>
        <w:widowControl w:val="0"/>
        <w:spacing w:before="132" w:line="360" w:lineRule="auto"/>
        <w:ind w:left="105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before="132" w:line="360" w:lineRule="auto"/>
        <w:ind w:left="105" w:firstLine="70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Sala de Sessões, 07 de dezembro de 2021.</w:t>
      </w:r>
    </w:p>
    <w:p w:rsidR="00000000" w:rsidDel="00000000" w:rsidP="00000000" w:rsidRDefault="00000000" w:rsidRPr="00000000" w14:paraId="00000024">
      <w:pPr>
        <w:widowControl w:val="0"/>
        <w:spacing w:before="132" w:line="360" w:lineRule="auto"/>
        <w:ind w:left="105" w:firstLine="708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IZA VICENTE</w:t>
      </w:r>
    </w:p>
    <w:p w:rsidR="00000000" w:rsidDel="00000000" w:rsidP="00000000" w:rsidRDefault="00000000" w:rsidRPr="00000000" w14:paraId="00000025">
      <w:pPr>
        <w:widowControl w:val="0"/>
        <w:spacing w:before="132" w:line="360" w:lineRule="auto"/>
        <w:ind w:left="105" w:firstLine="708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Vereadora Relatora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94.0" w:type="dxa"/>
        <w:jc w:val="center"/>
        <w:tblLayout w:type="fixed"/>
        <w:tblLook w:val="0000"/>
      </w:tblPr>
      <w:tblGrid>
        <w:gridCol w:w="1809"/>
        <w:gridCol w:w="1276"/>
        <w:gridCol w:w="3402"/>
        <w:gridCol w:w="2107"/>
        <w:tblGridChange w:id="0">
          <w:tblGrid>
            <w:gridCol w:w="1809"/>
            <w:gridCol w:w="1276"/>
            <w:gridCol w:w="3402"/>
            <w:gridCol w:w="2107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Vereador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Membros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Voto do Parecer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Assinatura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Amaro Luiz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Presidente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  ) de acordo (      ) contrário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Edson Chiquini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Titular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  ) de acordo (      ) contrário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Luiz Matos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Suplente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  ) de acordo (      ) contrário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Parecer: (       ) Aprovado  (       ) Rejeitado</w:t>
      </w:r>
    </w:p>
    <w:p w:rsidR="00000000" w:rsidDel="00000000" w:rsidP="00000000" w:rsidRDefault="00000000" w:rsidRPr="00000000" w14:paraId="00000039">
      <w:pPr>
        <w:widowControl w:val="0"/>
        <w:spacing w:line="274" w:lineRule="auto"/>
        <w:ind w:left="958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jc w:val="center"/>
      <w:rPr/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1080000</wp:posOffset>
              </wp:positionH>
              <wp:positionV relativeFrom="page">
                <wp:posOffset>1200150</wp:posOffset>
              </wp:positionV>
              <wp:extent cx="6139180" cy="1314450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281173" y="3127538"/>
                        <a:ext cx="6129655" cy="1304925"/>
                      </a:xfrm>
                      <a:custGeom>
                        <a:rect b="b" l="l" r="r" t="t"/>
                        <a:pathLst>
                          <a:path extrusionOk="0" h="1304925" w="6129655">
                            <a:moveTo>
                              <a:pt x="0" y="0"/>
                            </a:moveTo>
                            <a:lnTo>
                              <a:pt x="0" y="1304925"/>
                            </a:lnTo>
                            <a:lnTo>
                              <a:pt x="6129655" y="1304925"/>
                            </a:lnTo>
                            <a:lnTo>
                              <a:pt x="612965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43.00000190734863" w:right="8.00000011920929" w:firstLine="43.00000190734863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E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3"/>
                              <w:vertAlign w:val="baseline"/>
                            </w:rPr>
                            <w:t xml:space="preserve">STADO DO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R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3"/>
                              <w:vertAlign w:val="baseline"/>
                            </w:rPr>
                            <w:t xml:space="preserve">IO DE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J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3"/>
                              <w:vertAlign w:val="baseline"/>
                            </w:rPr>
                            <w:t xml:space="preserve">ANEIRO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93.99999618530273" w:line="240"/>
                            <w:ind w:left="45" w:right="8.00000011920929" w:firstLine="45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3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3"/>
                              <w:vertAlign w:val="baseline"/>
                            </w:rPr>
                            <w:t xml:space="preserve">Â M A R A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3"/>
                              <w:vertAlign w:val="baseline"/>
                            </w:rPr>
                            <w:t xml:space="preserve">U N I C I PA L D E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3"/>
                              <w:vertAlign w:val="baseline"/>
                            </w:rPr>
                            <w:t xml:space="preserve">ACAÉ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28.00000190734863" w:line="240"/>
                            <w:ind w:left="48.00000190734863" w:right="8.00000011920929" w:firstLine="48.00000190734863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3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3"/>
                              <w:vertAlign w:val="baseline"/>
                            </w:rPr>
                            <w:t xml:space="preserve">ACAÉ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3"/>
                              <w:vertAlign w:val="baseline"/>
                            </w:rPr>
                            <w:t xml:space="preserve">A P I T A L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N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3"/>
                              <w:vertAlign w:val="baseline"/>
                            </w:rPr>
                            <w:t xml:space="preserve">A C I O N A L D O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3"/>
                              <w:vertAlign w:val="baseline"/>
                            </w:rPr>
                            <w:t xml:space="preserve">ETRÓLEO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28.00000190734863" w:line="408.0000114440918"/>
                            <w:ind w:left="3193.9999389648438" w:right="3181.0000610351562" w:firstLine="3193.9999389648438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3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L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3"/>
                              <w:vertAlign w:val="baseline"/>
                            </w:rPr>
                            <w:t xml:space="preserve">EI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E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3"/>
                              <w:vertAlign w:val="baseline"/>
                            </w:rPr>
                            <w:t xml:space="preserve">S T A D U A L N º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6 0 8 1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3"/>
                              <w:vertAlign w:val="baseline"/>
                            </w:rPr>
                            <w:t xml:space="preserve">D E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2 1 . 11 . 2 0 11 S A L A D A S C O M I S S Õ E 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180"/>
                            <w:ind w:left="45" w:right="8.00000011920929" w:firstLine="45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3"/>
                              <w:vertAlign w:val="baseline"/>
                            </w:rPr>
                            <w:t xml:space="preserve">OMISSÃO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3"/>
                              <w:vertAlign w:val="baseline"/>
                            </w:rPr>
                            <w:t xml:space="preserve">E R M A N E N T E D E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T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3"/>
                              <w:vertAlign w:val="baseline"/>
                            </w:rPr>
                            <w:t xml:space="preserve">R A N S P O R T E E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3"/>
                              <w:vertAlign w:val="baseline"/>
                            </w:rPr>
                            <w:t xml:space="preserve">O B I L I D A D E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U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3"/>
                              <w:vertAlign w:val="baseline"/>
                            </w:rPr>
                            <w:t xml:space="preserve">RBANA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28.00000190734863" w:line="240"/>
                            <w:ind w:left="8.00000011920929" w:right="8.00000011920929" w:firstLine="8.00000011920929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3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_ _ _ _ _ _ _ _ _ _ _ _ _ _ _ _ _ _ _ _ _ _ _ _ _ _ _ _ _ _ _ _ _ _ _ _ _ _ _ _ _ _ _ _ _ _ _ _ _ _ _ _ _ _ _ _ _ _ _ _ _ _ _ _ _ _ _ _ _ _ _ _ _ _ _ _ _ _ _ _ _ _ _ _ _ _ _ _ _ _ _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1080000</wp:posOffset>
              </wp:positionH>
              <wp:positionV relativeFrom="page">
                <wp:posOffset>1200150</wp:posOffset>
              </wp:positionV>
              <wp:extent cx="6139180" cy="1314450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39180" cy="1314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inline distB="0" distT="0" distL="0" distR="0">
          <wp:extent cx="904726" cy="690188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4726" cy="6901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