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AD5" w:rsidRDefault="006E7569" w:rsidP="006E7569">
      <w:pPr>
        <w:jc w:val="center"/>
        <w:rPr>
          <w:rFonts w:asciiTheme="majorHAnsi" w:hAnsiTheme="majorHAnsi"/>
          <w:b/>
          <w:sz w:val="26"/>
          <w:szCs w:val="26"/>
        </w:rPr>
      </w:pPr>
      <w:r w:rsidRPr="002D5AD5">
        <w:rPr>
          <w:rFonts w:asciiTheme="majorHAnsi" w:hAnsiTheme="majorHAnsi"/>
          <w:b/>
          <w:sz w:val="26"/>
          <w:szCs w:val="26"/>
        </w:rPr>
        <w:t>PARECER DA COMISSÃO PERMANENTE DE FINANÇA</w:t>
      </w:r>
      <w:r w:rsidR="00363C32" w:rsidRPr="002D5AD5">
        <w:rPr>
          <w:rFonts w:asciiTheme="majorHAnsi" w:hAnsiTheme="majorHAnsi"/>
          <w:b/>
          <w:sz w:val="26"/>
          <w:szCs w:val="26"/>
        </w:rPr>
        <w:t>S</w:t>
      </w:r>
      <w:r w:rsidRPr="002D5AD5">
        <w:rPr>
          <w:rFonts w:asciiTheme="majorHAnsi" w:hAnsiTheme="majorHAnsi"/>
          <w:b/>
          <w:sz w:val="26"/>
          <w:szCs w:val="26"/>
        </w:rPr>
        <w:t xml:space="preserve">, </w:t>
      </w:r>
    </w:p>
    <w:p w:rsidR="006E7569" w:rsidRPr="002D5AD5" w:rsidRDefault="006E7569" w:rsidP="006E7569">
      <w:pPr>
        <w:jc w:val="center"/>
        <w:rPr>
          <w:rFonts w:asciiTheme="majorHAnsi" w:hAnsiTheme="majorHAnsi"/>
          <w:b/>
          <w:sz w:val="26"/>
          <w:szCs w:val="26"/>
        </w:rPr>
      </w:pPr>
      <w:r w:rsidRPr="002D5AD5">
        <w:rPr>
          <w:rFonts w:asciiTheme="majorHAnsi" w:hAnsiTheme="majorHAnsi"/>
          <w:b/>
          <w:sz w:val="26"/>
          <w:szCs w:val="26"/>
        </w:rPr>
        <w:t>ORÇAMENTO, PLANEJAMENTO E TRIBUTAÇÃO</w:t>
      </w:r>
    </w:p>
    <w:p w:rsidR="006E7569" w:rsidRPr="002D5AD5" w:rsidRDefault="006E7569" w:rsidP="006E7569">
      <w:pPr>
        <w:jc w:val="center"/>
        <w:rPr>
          <w:rFonts w:asciiTheme="majorHAnsi" w:hAnsiTheme="majorHAnsi"/>
          <w:b/>
          <w:sz w:val="26"/>
          <w:szCs w:val="26"/>
        </w:rPr>
      </w:pPr>
      <w:r w:rsidRPr="002D5AD5">
        <w:rPr>
          <w:rFonts w:asciiTheme="majorHAnsi" w:hAnsiTheme="majorHAnsi"/>
          <w:b/>
          <w:sz w:val="26"/>
          <w:szCs w:val="26"/>
        </w:rPr>
        <w:t xml:space="preserve">PROJETO DE LEI nº </w:t>
      </w:r>
      <w:r w:rsidR="008A7D8F" w:rsidRPr="002D5AD5">
        <w:rPr>
          <w:rFonts w:asciiTheme="majorHAnsi" w:hAnsiTheme="majorHAnsi"/>
          <w:b/>
          <w:sz w:val="26"/>
          <w:szCs w:val="26"/>
        </w:rPr>
        <w:t>P</w:t>
      </w:r>
      <w:r w:rsidRPr="002D5AD5">
        <w:rPr>
          <w:rFonts w:asciiTheme="majorHAnsi" w:hAnsiTheme="majorHAnsi"/>
          <w:b/>
          <w:sz w:val="26"/>
          <w:szCs w:val="26"/>
        </w:rPr>
        <w:t>L</w:t>
      </w:r>
      <w:r w:rsidR="008A7D8F" w:rsidRPr="002D5AD5">
        <w:rPr>
          <w:rFonts w:asciiTheme="majorHAnsi" w:hAnsiTheme="majorHAnsi"/>
          <w:b/>
          <w:sz w:val="26"/>
          <w:szCs w:val="26"/>
        </w:rPr>
        <w:t>E</w:t>
      </w:r>
      <w:r w:rsidR="00EF6CD4" w:rsidRPr="002D5AD5">
        <w:rPr>
          <w:rFonts w:asciiTheme="majorHAnsi" w:hAnsiTheme="majorHAnsi"/>
          <w:b/>
          <w:sz w:val="26"/>
          <w:szCs w:val="26"/>
        </w:rPr>
        <w:t xml:space="preserve"> - </w:t>
      </w:r>
      <w:r w:rsidR="00806825" w:rsidRPr="002D5AD5">
        <w:rPr>
          <w:rFonts w:asciiTheme="majorHAnsi" w:hAnsiTheme="majorHAnsi"/>
          <w:b/>
          <w:sz w:val="26"/>
          <w:szCs w:val="26"/>
        </w:rPr>
        <w:t>026</w:t>
      </w:r>
      <w:r w:rsidRPr="002D5AD5">
        <w:rPr>
          <w:rFonts w:asciiTheme="majorHAnsi" w:hAnsiTheme="majorHAnsi"/>
          <w:b/>
          <w:sz w:val="26"/>
          <w:szCs w:val="26"/>
        </w:rPr>
        <w:t>/2021</w:t>
      </w:r>
    </w:p>
    <w:p w:rsidR="00EF6CD4" w:rsidRPr="002D5AD5" w:rsidRDefault="00EF6CD4" w:rsidP="006E7569">
      <w:pPr>
        <w:jc w:val="center"/>
        <w:rPr>
          <w:rFonts w:asciiTheme="majorHAnsi" w:hAnsiTheme="majorHAnsi"/>
          <w:color w:val="000000"/>
        </w:rPr>
      </w:pPr>
    </w:p>
    <w:p w:rsidR="006E7569" w:rsidRPr="002D5AD5" w:rsidRDefault="006E7569" w:rsidP="006E7569">
      <w:pPr>
        <w:jc w:val="both"/>
        <w:rPr>
          <w:rFonts w:asciiTheme="majorHAnsi" w:hAnsiTheme="majorHAnsi" w:cs="Segoe UI"/>
          <w:u w:val="single"/>
          <w:shd w:val="clear" w:color="auto" w:fill="F7F7F7"/>
        </w:rPr>
      </w:pPr>
      <w:r w:rsidRPr="002D5AD5">
        <w:rPr>
          <w:rFonts w:asciiTheme="majorHAnsi" w:hAnsiTheme="majorHAnsi"/>
          <w:sz w:val="26"/>
          <w:szCs w:val="26"/>
        </w:rPr>
        <w:t xml:space="preserve">Vem a esta Comissão de FINANÇAS, ORÇAMENTO, PLANEJAMENTO E TRIBUTAÇÃO, para parecer, PROJETO DE LEI Nº </w:t>
      </w:r>
      <w:r w:rsidR="008A7D8F" w:rsidRPr="002D5AD5">
        <w:rPr>
          <w:rFonts w:asciiTheme="majorHAnsi" w:hAnsiTheme="majorHAnsi"/>
          <w:sz w:val="26"/>
          <w:szCs w:val="26"/>
        </w:rPr>
        <w:t>P</w:t>
      </w:r>
      <w:r w:rsidRPr="002D5AD5">
        <w:rPr>
          <w:rFonts w:asciiTheme="majorHAnsi" w:hAnsiTheme="majorHAnsi"/>
          <w:sz w:val="26"/>
          <w:szCs w:val="26"/>
        </w:rPr>
        <w:t>L</w:t>
      </w:r>
      <w:r w:rsidR="008A7D8F" w:rsidRPr="002D5AD5">
        <w:rPr>
          <w:rFonts w:asciiTheme="majorHAnsi" w:hAnsiTheme="majorHAnsi"/>
          <w:sz w:val="26"/>
          <w:szCs w:val="26"/>
        </w:rPr>
        <w:t>E</w:t>
      </w:r>
      <w:r w:rsidRPr="002D5AD5">
        <w:rPr>
          <w:rFonts w:asciiTheme="majorHAnsi" w:hAnsiTheme="majorHAnsi"/>
          <w:sz w:val="26"/>
          <w:szCs w:val="26"/>
        </w:rPr>
        <w:t xml:space="preserve"> </w:t>
      </w:r>
      <w:r w:rsidR="00806825" w:rsidRPr="002D5AD5">
        <w:rPr>
          <w:rFonts w:asciiTheme="majorHAnsi" w:hAnsiTheme="majorHAnsi"/>
          <w:sz w:val="26"/>
          <w:szCs w:val="26"/>
        </w:rPr>
        <w:t>026</w:t>
      </w:r>
      <w:r w:rsidRPr="002D5AD5">
        <w:rPr>
          <w:rFonts w:asciiTheme="majorHAnsi" w:hAnsiTheme="majorHAnsi"/>
          <w:sz w:val="26"/>
          <w:szCs w:val="26"/>
        </w:rPr>
        <w:t>/2021</w:t>
      </w:r>
      <w:r w:rsidR="00075C9F" w:rsidRPr="002D5AD5">
        <w:rPr>
          <w:rFonts w:asciiTheme="majorHAnsi" w:hAnsiTheme="majorHAnsi"/>
          <w:sz w:val="26"/>
          <w:szCs w:val="26"/>
        </w:rPr>
        <w:t xml:space="preserve">, de iniciativa do Exmo. Sr. </w:t>
      </w:r>
      <w:r w:rsidR="008A7D8F" w:rsidRPr="002D5AD5">
        <w:rPr>
          <w:rFonts w:asciiTheme="majorHAnsi" w:hAnsiTheme="majorHAnsi"/>
          <w:sz w:val="26"/>
          <w:szCs w:val="26"/>
        </w:rPr>
        <w:t>Prefeito Municipal, Chefe do Executivo</w:t>
      </w:r>
      <w:r w:rsidR="00075C9F" w:rsidRPr="002D5AD5">
        <w:rPr>
          <w:rFonts w:asciiTheme="majorHAnsi" w:hAnsiTheme="majorHAnsi"/>
          <w:sz w:val="26"/>
          <w:szCs w:val="26"/>
        </w:rPr>
        <w:t>,</w:t>
      </w:r>
      <w:r w:rsidR="004B2FCA" w:rsidRPr="002D5AD5">
        <w:rPr>
          <w:rFonts w:asciiTheme="majorHAnsi" w:hAnsiTheme="majorHAnsi"/>
          <w:sz w:val="26"/>
          <w:szCs w:val="26"/>
        </w:rPr>
        <w:t xml:space="preserve"> que</w:t>
      </w:r>
      <w:r w:rsidR="00806825" w:rsidRPr="002D5AD5">
        <w:rPr>
          <w:rFonts w:asciiTheme="majorHAnsi" w:hAnsiTheme="majorHAnsi" w:cs="Segoe UI"/>
          <w:color w:val="212529"/>
          <w:shd w:val="clear" w:color="auto" w:fill="F7F7F7"/>
        </w:rPr>
        <w:t xml:space="preserve"> </w:t>
      </w:r>
      <w:r w:rsidR="00806825" w:rsidRPr="002D5AD5">
        <w:rPr>
          <w:rFonts w:asciiTheme="majorHAnsi" w:hAnsiTheme="majorHAnsi" w:cs="Segoe UI"/>
          <w:u w:val="single"/>
          <w:shd w:val="clear" w:color="auto" w:fill="F7F7F7"/>
        </w:rPr>
        <w:t>ESTIMA A RECEITA E FIXA A DESPESA DO MUNICÍPIO DE MACAÉ PARA O EXERCÍCIO FINANCEIRO DE 2022</w:t>
      </w:r>
      <w:r w:rsidR="000B43C9" w:rsidRPr="002D5AD5">
        <w:rPr>
          <w:rFonts w:asciiTheme="majorHAnsi" w:hAnsiTheme="majorHAnsi" w:cs="Segoe UI"/>
          <w:u w:val="single"/>
          <w:shd w:val="clear" w:color="auto" w:fill="F7F7F7"/>
        </w:rPr>
        <w:t>.</w:t>
      </w:r>
    </w:p>
    <w:p w:rsidR="000B43C9" w:rsidRPr="002D5AD5" w:rsidRDefault="000B43C9" w:rsidP="006E7569">
      <w:pPr>
        <w:jc w:val="both"/>
        <w:rPr>
          <w:rFonts w:asciiTheme="majorHAnsi" w:hAnsiTheme="majorHAnsi"/>
          <w:sz w:val="26"/>
          <w:szCs w:val="26"/>
        </w:rPr>
      </w:pPr>
    </w:p>
    <w:p w:rsidR="004B2FCA" w:rsidRPr="002D5AD5" w:rsidRDefault="004B2FCA" w:rsidP="004B2FCA">
      <w:pPr>
        <w:jc w:val="both"/>
        <w:rPr>
          <w:rFonts w:asciiTheme="majorHAnsi" w:hAnsiTheme="majorHAnsi"/>
          <w:sz w:val="26"/>
          <w:szCs w:val="26"/>
        </w:rPr>
      </w:pPr>
      <w:r w:rsidRPr="002D5AD5">
        <w:rPr>
          <w:rFonts w:asciiTheme="majorHAnsi" w:hAnsiTheme="majorHAnsi"/>
          <w:sz w:val="26"/>
          <w:szCs w:val="26"/>
        </w:rPr>
        <w:t>Nos termos do artigo 27 do Regimento Interno, compete à COMISSÃO PERMANENTE DE FINANÇA, ORÇAMENTO, PLANEJAMENTO E TRIBUTAÇÃO dar parecer fundamentado sobre as prop</w:t>
      </w:r>
      <w:r w:rsidR="008A7D8F" w:rsidRPr="002D5AD5">
        <w:rPr>
          <w:rFonts w:asciiTheme="majorHAnsi" w:hAnsiTheme="majorHAnsi"/>
          <w:sz w:val="26"/>
          <w:szCs w:val="26"/>
        </w:rPr>
        <w:t>osições elencadas no inciso “I”</w:t>
      </w:r>
      <w:r w:rsidRPr="002D5AD5">
        <w:rPr>
          <w:rFonts w:asciiTheme="majorHAnsi" w:hAnsiTheme="majorHAnsi"/>
          <w:sz w:val="26"/>
          <w:szCs w:val="26"/>
        </w:rPr>
        <w:t xml:space="preserve"> ao “IV” do artigo supramencionado.</w:t>
      </w:r>
    </w:p>
    <w:p w:rsidR="008E065A" w:rsidRPr="002D5AD5" w:rsidRDefault="008E065A" w:rsidP="004B2FCA">
      <w:pPr>
        <w:jc w:val="both"/>
        <w:rPr>
          <w:rFonts w:asciiTheme="majorHAnsi" w:hAnsiTheme="majorHAnsi"/>
          <w:sz w:val="26"/>
          <w:szCs w:val="26"/>
        </w:rPr>
      </w:pPr>
    </w:p>
    <w:p w:rsidR="004B2FCA" w:rsidRPr="002D5AD5" w:rsidRDefault="00FD3B6F" w:rsidP="004B2FCA">
      <w:pPr>
        <w:jc w:val="both"/>
        <w:rPr>
          <w:rFonts w:asciiTheme="majorHAnsi" w:hAnsiTheme="majorHAnsi"/>
          <w:sz w:val="26"/>
          <w:szCs w:val="26"/>
        </w:rPr>
      </w:pPr>
      <w:r w:rsidRPr="002D5AD5">
        <w:rPr>
          <w:rFonts w:asciiTheme="majorHAnsi" w:hAnsiTheme="majorHAnsi"/>
          <w:sz w:val="26"/>
          <w:szCs w:val="26"/>
        </w:rPr>
        <w:t>Dessa forma, emite</w:t>
      </w:r>
      <w:r w:rsidR="00E10DC3" w:rsidRPr="002D5AD5">
        <w:rPr>
          <w:rFonts w:asciiTheme="majorHAnsi" w:hAnsiTheme="majorHAnsi"/>
          <w:sz w:val="26"/>
          <w:szCs w:val="26"/>
        </w:rPr>
        <w:t xml:space="preserve"> o </w:t>
      </w:r>
      <w:r w:rsidRPr="002D5AD5">
        <w:rPr>
          <w:rFonts w:asciiTheme="majorHAnsi" w:hAnsiTheme="majorHAnsi"/>
          <w:sz w:val="26"/>
          <w:szCs w:val="26"/>
        </w:rPr>
        <w:t xml:space="preserve">seu </w:t>
      </w:r>
      <w:r w:rsidR="00E10DC3" w:rsidRPr="002D5AD5">
        <w:rPr>
          <w:rFonts w:asciiTheme="majorHAnsi" w:hAnsiTheme="majorHAnsi"/>
          <w:sz w:val="26"/>
          <w:szCs w:val="26"/>
        </w:rPr>
        <w:t>parecer e, p</w:t>
      </w:r>
      <w:r w:rsidR="008A7D8F" w:rsidRPr="002D5AD5">
        <w:rPr>
          <w:rFonts w:asciiTheme="majorHAnsi" w:hAnsiTheme="majorHAnsi"/>
          <w:sz w:val="26"/>
          <w:szCs w:val="26"/>
        </w:rPr>
        <w:t>ara tanto, traz as seguintes considerações:</w:t>
      </w:r>
    </w:p>
    <w:p w:rsidR="00CB480F" w:rsidRPr="002D5AD5" w:rsidRDefault="00CB480F" w:rsidP="004B2FCA">
      <w:pPr>
        <w:jc w:val="both"/>
        <w:rPr>
          <w:rFonts w:asciiTheme="majorHAnsi" w:hAnsiTheme="majorHAnsi"/>
          <w:sz w:val="26"/>
          <w:szCs w:val="26"/>
        </w:rPr>
      </w:pPr>
    </w:p>
    <w:p w:rsidR="009A1EF0" w:rsidRPr="002D5AD5" w:rsidRDefault="009A1EF0" w:rsidP="004B2FCA">
      <w:pPr>
        <w:jc w:val="both"/>
        <w:rPr>
          <w:rFonts w:asciiTheme="majorHAnsi" w:hAnsiTheme="majorHAnsi"/>
          <w:sz w:val="26"/>
          <w:szCs w:val="26"/>
          <w:u w:val="single"/>
        </w:rPr>
      </w:pPr>
      <w:r w:rsidRPr="002D5AD5">
        <w:rPr>
          <w:rFonts w:asciiTheme="majorHAnsi" w:hAnsiTheme="majorHAnsi"/>
          <w:b/>
          <w:sz w:val="26"/>
          <w:szCs w:val="26"/>
        </w:rPr>
        <w:t xml:space="preserve">INICIALMENTE, </w:t>
      </w:r>
      <w:r w:rsidR="008A7D8F" w:rsidRPr="002D5AD5">
        <w:rPr>
          <w:rFonts w:asciiTheme="majorHAnsi" w:hAnsiTheme="majorHAnsi"/>
          <w:b/>
          <w:sz w:val="26"/>
          <w:szCs w:val="26"/>
        </w:rPr>
        <w:t xml:space="preserve">DA </w:t>
      </w:r>
      <w:r w:rsidR="008A7D8F" w:rsidRPr="002D5AD5">
        <w:rPr>
          <w:rFonts w:asciiTheme="majorHAnsi" w:hAnsiTheme="majorHAnsi"/>
          <w:b/>
          <w:sz w:val="26"/>
          <w:szCs w:val="26"/>
          <w:u w:val="single"/>
        </w:rPr>
        <w:t>TEMPESTIVIDADE</w:t>
      </w:r>
      <w:r w:rsidR="008A7D8F" w:rsidRPr="002D5AD5">
        <w:rPr>
          <w:rFonts w:asciiTheme="majorHAnsi" w:hAnsiTheme="majorHAnsi"/>
          <w:sz w:val="26"/>
          <w:szCs w:val="26"/>
          <w:u w:val="single"/>
        </w:rPr>
        <w:t xml:space="preserve"> </w:t>
      </w:r>
    </w:p>
    <w:p w:rsidR="00CB480F" w:rsidRPr="002D5AD5" w:rsidRDefault="008A7D8F" w:rsidP="004B2FCA">
      <w:pPr>
        <w:jc w:val="both"/>
        <w:rPr>
          <w:rFonts w:asciiTheme="majorHAnsi" w:hAnsiTheme="majorHAnsi"/>
          <w:sz w:val="26"/>
          <w:szCs w:val="26"/>
        </w:rPr>
      </w:pPr>
      <w:r w:rsidRPr="002D5AD5">
        <w:rPr>
          <w:rFonts w:asciiTheme="majorHAnsi" w:hAnsiTheme="majorHAnsi"/>
          <w:sz w:val="26"/>
          <w:szCs w:val="26"/>
        </w:rPr>
        <w:t xml:space="preserve">O Projeto de Lei em análise é tempestivo, vez que foi </w:t>
      </w:r>
      <w:r w:rsidR="00CB480F" w:rsidRPr="002D5AD5">
        <w:rPr>
          <w:rFonts w:asciiTheme="majorHAnsi" w:hAnsiTheme="majorHAnsi"/>
          <w:sz w:val="26"/>
          <w:szCs w:val="26"/>
        </w:rPr>
        <w:t>enviado ao Legislativo até o</w:t>
      </w:r>
      <w:r w:rsidR="000B43C9" w:rsidRPr="002D5AD5">
        <w:rPr>
          <w:rFonts w:asciiTheme="majorHAnsi" w:hAnsiTheme="majorHAnsi"/>
          <w:sz w:val="26"/>
          <w:szCs w:val="26"/>
        </w:rPr>
        <w:t xml:space="preserve"> dia 15/10/2021,</w:t>
      </w:r>
      <w:r w:rsidRPr="002D5AD5">
        <w:rPr>
          <w:rFonts w:asciiTheme="majorHAnsi" w:hAnsiTheme="majorHAnsi"/>
          <w:sz w:val="26"/>
          <w:szCs w:val="26"/>
        </w:rPr>
        <w:t xml:space="preserve"> ob</w:t>
      </w:r>
      <w:r w:rsidR="000B43C9" w:rsidRPr="002D5AD5">
        <w:rPr>
          <w:rFonts w:asciiTheme="majorHAnsi" w:hAnsiTheme="majorHAnsi"/>
          <w:sz w:val="26"/>
          <w:szCs w:val="26"/>
        </w:rPr>
        <w:t>edecendo aos prazos dos art. 122, caput e § 3</w:t>
      </w:r>
      <w:r w:rsidRPr="002D5AD5">
        <w:rPr>
          <w:rFonts w:asciiTheme="majorHAnsi" w:hAnsiTheme="majorHAnsi"/>
          <w:sz w:val="26"/>
          <w:szCs w:val="26"/>
        </w:rPr>
        <w:t xml:space="preserve">º da Lei Orgânica do </w:t>
      </w:r>
      <w:r w:rsidR="000B43C9" w:rsidRPr="002D5AD5">
        <w:rPr>
          <w:rFonts w:asciiTheme="majorHAnsi" w:hAnsiTheme="majorHAnsi"/>
          <w:sz w:val="26"/>
          <w:szCs w:val="26"/>
        </w:rPr>
        <w:t>Município de Macaé.</w:t>
      </w:r>
      <w:r w:rsidR="000B43C9" w:rsidRPr="002D5AD5">
        <w:rPr>
          <w:rFonts w:asciiTheme="majorHAnsi" w:hAnsiTheme="majorHAnsi"/>
        </w:rPr>
        <w:t xml:space="preserve"> </w:t>
      </w:r>
    </w:p>
    <w:p w:rsidR="00CB480F" w:rsidRPr="002D5AD5" w:rsidRDefault="00CB480F" w:rsidP="004B2FCA">
      <w:pPr>
        <w:jc w:val="both"/>
        <w:rPr>
          <w:rFonts w:asciiTheme="majorHAnsi" w:hAnsiTheme="majorHAnsi"/>
          <w:b/>
          <w:sz w:val="26"/>
          <w:szCs w:val="26"/>
        </w:rPr>
      </w:pPr>
    </w:p>
    <w:p w:rsidR="009A1EF0" w:rsidRPr="002D5AD5" w:rsidRDefault="009A1EF0" w:rsidP="004B2FCA">
      <w:pPr>
        <w:jc w:val="both"/>
        <w:rPr>
          <w:rFonts w:asciiTheme="majorHAnsi" w:hAnsiTheme="majorHAnsi"/>
          <w:b/>
          <w:sz w:val="28"/>
          <w:szCs w:val="28"/>
          <w:u w:val="single"/>
        </w:rPr>
      </w:pPr>
      <w:r w:rsidRPr="002D5AD5">
        <w:rPr>
          <w:rFonts w:asciiTheme="majorHAnsi" w:hAnsiTheme="majorHAnsi"/>
          <w:b/>
          <w:sz w:val="28"/>
          <w:szCs w:val="28"/>
          <w:u w:val="single"/>
        </w:rPr>
        <w:t>DO MÉRITO</w:t>
      </w:r>
    </w:p>
    <w:p w:rsidR="00806825" w:rsidRPr="002D5AD5" w:rsidRDefault="00806825" w:rsidP="00806825">
      <w:pPr>
        <w:jc w:val="both"/>
        <w:rPr>
          <w:rFonts w:asciiTheme="majorHAnsi" w:hAnsiTheme="majorHAnsi"/>
          <w:sz w:val="26"/>
          <w:szCs w:val="26"/>
        </w:rPr>
      </w:pPr>
      <w:r w:rsidRPr="002D5AD5">
        <w:rPr>
          <w:rFonts w:asciiTheme="majorHAnsi" w:hAnsiTheme="majorHAnsi"/>
          <w:sz w:val="26"/>
          <w:szCs w:val="26"/>
        </w:rPr>
        <w:t xml:space="preserve">A </w:t>
      </w:r>
      <w:r w:rsidR="002D1B69" w:rsidRPr="002D5AD5">
        <w:rPr>
          <w:rFonts w:asciiTheme="majorHAnsi" w:hAnsiTheme="majorHAnsi"/>
          <w:sz w:val="26"/>
          <w:szCs w:val="26"/>
        </w:rPr>
        <w:t>Lei Orçamentária Anual (</w:t>
      </w:r>
      <w:r w:rsidRPr="002D5AD5">
        <w:rPr>
          <w:rFonts w:asciiTheme="majorHAnsi" w:hAnsiTheme="majorHAnsi"/>
          <w:sz w:val="26"/>
          <w:szCs w:val="26"/>
        </w:rPr>
        <w:t>LOA</w:t>
      </w:r>
      <w:r w:rsidR="002D1B69" w:rsidRPr="002D5AD5">
        <w:rPr>
          <w:rFonts w:asciiTheme="majorHAnsi" w:hAnsiTheme="majorHAnsi"/>
          <w:sz w:val="26"/>
          <w:szCs w:val="26"/>
        </w:rPr>
        <w:t>)</w:t>
      </w:r>
      <w:r w:rsidRPr="002D5AD5">
        <w:rPr>
          <w:rFonts w:asciiTheme="majorHAnsi" w:hAnsiTheme="majorHAnsi"/>
          <w:sz w:val="26"/>
          <w:szCs w:val="26"/>
        </w:rPr>
        <w:t xml:space="preserve"> é a lei orçamentária mais concreta de todas, na medida em que dispõe, quase que exclusivamente, acerca das receitas e despesas para o exercício financeiro seguinte. Referida concretude se manifesta no próprio texto constitucional, que determina, no artigo 165, § 8o, que essa</w:t>
      </w:r>
      <w:r w:rsidR="002D1B69" w:rsidRPr="002D5AD5">
        <w:rPr>
          <w:rFonts w:asciiTheme="majorHAnsi" w:hAnsiTheme="majorHAnsi"/>
          <w:sz w:val="26"/>
          <w:szCs w:val="26"/>
        </w:rPr>
        <w:t xml:space="preserve"> </w:t>
      </w:r>
      <w:r w:rsidRPr="002D5AD5">
        <w:rPr>
          <w:rFonts w:asciiTheme="majorHAnsi" w:hAnsiTheme="majorHAnsi"/>
          <w:sz w:val="26"/>
          <w:szCs w:val="26"/>
        </w:rPr>
        <w:t>lei “não conterá dispositivo estranho à previsão da receita e à fixação da despesa” – trata-se do já mencionado princípio da exclusividade.</w:t>
      </w:r>
    </w:p>
    <w:p w:rsidR="00806825" w:rsidRPr="002D5AD5" w:rsidRDefault="00806825" w:rsidP="00806825">
      <w:pPr>
        <w:jc w:val="both"/>
        <w:rPr>
          <w:rFonts w:asciiTheme="majorHAnsi" w:hAnsiTheme="majorHAnsi"/>
          <w:sz w:val="26"/>
          <w:szCs w:val="26"/>
        </w:rPr>
      </w:pPr>
    </w:p>
    <w:p w:rsidR="00806825" w:rsidRPr="002D5AD5" w:rsidRDefault="00806825" w:rsidP="00806825">
      <w:pPr>
        <w:jc w:val="both"/>
        <w:rPr>
          <w:rFonts w:asciiTheme="majorHAnsi" w:hAnsiTheme="majorHAnsi"/>
          <w:sz w:val="26"/>
          <w:szCs w:val="26"/>
        </w:rPr>
      </w:pPr>
      <w:r w:rsidRPr="002D5AD5">
        <w:rPr>
          <w:rFonts w:asciiTheme="majorHAnsi" w:hAnsiTheme="majorHAnsi"/>
          <w:sz w:val="26"/>
          <w:szCs w:val="26"/>
        </w:rPr>
        <w:lastRenderedPageBreak/>
        <w:t xml:space="preserve">Na determinação de receitas e despesas, fica proibida a consignação de crédito com finalidade imprecisa ou dotação ilimitada, de forma que todas as receitas deverão estar vinculadas a despesas específicas e nos exatos montantes do dispêndio (artigo 5o, § 4o, da LRF) – mesmo que tal despesa não se realize no futuro, nos termos das considerações acima, sobre a </w:t>
      </w:r>
      <w:proofErr w:type="spellStart"/>
      <w:r w:rsidRPr="002D5AD5">
        <w:rPr>
          <w:rFonts w:asciiTheme="majorHAnsi" w:hAnsiTheme="majorHAnsi"/>
          <w:sz w:val="26"/>
          <w:szCs w:val="26"/>
        </w:rPr>
        <w:t>impositividade</w:t>
      </w:r>
      <w:proofErr w:type="spellEnd"/>
      <w:r w:rsidRPr="002D5AD5">
        <w:rPr>
          <w:rFonts w:asciiTheme="majorHAnsi" w:hAnsiTheme="majorHAnsi"/>
          <w:sz w:val="26"/>
          <w:szCs w:val="26"/>
        </w:rPr>
        <w:t xml:space="preserve"> do orçamento.</w:t>
      </w:r>
    </w:p>
    <w:p w:rsidR="00806825" w:rsidRPr="002D5AD5" w:rsidRDefault="00806825" w:rsidP="00806825">
      <w:pPr>
        <w:jc w:val="both"/>
        <w:rPr>
          <w:rFonts w:asciiTheme="majorHAnsi" w:hAnsiTheme="majorHAnsi"/>
          <w:b/>
          <w:sz w:val="28"/>
          <w:szCs w:val="28"/>
          <w:u w:val="single"/>
        </w:rPr>
      </w:pPr>
    </w:p>
    <w:p w:rsidR="00806825" w:rsidRPr="002D5AD5" w:rsidRDefault="00806825" w:rsidP="00806825">
      <w:pPr>
        <w:jc w:val="both"/>
        <w:rPr>
          <w:rFonts w:asciiTheme="majorHAnsi" w:hAnsiTheme="majorHAnsi"/>
          <w:sz w:val="26"/>
          <w:szCs w:val="26"/>
        </w:rPr>
      </w:pPr>
      <w:r w:rsidRPr="002D5AD5">
        <w:rPr>
          <w:rFonts w:asciiTheme="majorHAnsi" w:hAnsiTheme="majorHAnsi"/>
          <w:sz w:val="26"/>
          <w:szCs w:val="26"/>
        </w:rPr>
        <w:t>Ademais, segundo o artigo 5o, § 1o, da LRF,</w:t>
      </w:r>
      <w:r w:rsidR="002D1B69" w:rsidRPr="002D5AD5">
        <w:rPr>
          <w:rFonts w:asciiTheme="majorHAnsi" w:hAnsiTheme="majorHAnsi"/>
          <w:sz w:val="26"/>
          <w:szCs w:val="26"/>
        </w:rPr>
        <w:t xml:space="preserve"> o</w:t>
      </w:r>
      <w:r w:rsidRPr="002D5AD5">
        <w:rPr>
          <w:rFonts w:asciiTheme="majorHAnsi" w:hAnsiTheme="majorHAnsi"/>
          <w:sz w:val="26"/>
          <w:szCs w:val="26"/>
        </w:rPr>
        <w:t xml:space="preserve"> referido princípio da exclusividade é reiterado, na medida em que dispõe:</w:t>
      </w:r>
      <w:r w:rsidR="002D5AD5">
        <w:rPr>
          <w:rFonts w:asciiTheme="majorHAnsi" w:hAnsiTheme="majorHAnsi"/>
          <w:sz w:val="26"/>
          <w:szCs w:val="26"/>
        </w:rPr>
        <w:t xml:space="preserve"> </w:t>
      </w:r>
      <w:r w:rsidRPr="002D5AD5">
        <w:rPr>
          <w:rFonts w:asciiTheme="majorHAnsi" w:hAnsiTheme="majorHAnsi"/>
          <w:sz w:val="26"/>
          <w:szCs w:val="26"/>
        </w:rPr>
        <w:t>“§ 1o – Todas as despesas relativas à dívida pública, mobiliária ou contratual, e as receitas</w:t>
      </w:r>
      <w:r w:rsidR="002D1B69" w:rsidRPr="002D5AD5">
        <w:rPr>
          <w:rFonts w:asciiTheme="majorHAnsi" w:hAnsiTheme="majorHAnsi"/>
          <w:sz w:val="26"/>
          <w:szCs w:val="26"/>
        </w:rPr>
        <w:t xml:space="preserve"> </w:t>
      </w:r>
      <w:r w:rsidRPr="002D5AD5">
        <w:rPr>
          <w:rFonts w:asciiTheme="majorHAnsi" w:hAnsiTheme="majorHAnsi"/>
          <w:sz w:val="26"/>
          <w:szCs w:val="26"/>
        </w:rPr>
        <w:t>que as atenderão, constarão da lei orçamentária anual”. O princípio,</w:t>
      </w:r>
      <w:r w:rsidR="002D1B69" w:rsidRPr="002D5AD5">
        <w:rPr>
          <w:rFonts w:asciiTheme="majorHAnsi" w:hAnsiTheme="majorHAnsi"/>
          <w:sz w:val="26"/>
          <w:szCs w:val="26"/>
        </w:rPr>
        <w:t xml:space="preserve"> porém, contempla duas exceções: são os casos de </w:t>
      </w:r>
      <w:r w:rsidRPr="002D5AD5">
        <w:rPr>
          <w:rFonts w:asciiTheme="majorHAnsi" w:hAnsiTheme="majorHAnsi"/>
          <w:sz w:val="26"/>
          <w:szCs w:val="26"/>
        </w:rPr>
        <w:t>autorização para a abertura de crédito suplementar e</w:t>
      </w:r>
      <w:r w:rsidR="002D1B69" w:rsidRPr="002D5AD5">
        <w:rPr>
          <w:rFonts w:asciiTheme="majorHAnsi" w:hAnsiTheme="majorHAnsi"/>
          <w:sz w:val="26"/>
          <w:szCs w:val="26"/>
        </w:rPr>
        <w:t xml:space="preserve"> para a</w:t>
      </w:r>
      <w:r w:rsidRPr="002D5AD5">
        <w:rPr>
          <w:rFonts w:asciiTheme="majorHAnsi" w:hAnsiTheme="majorHAnsi"/>
          <w:sz w:val="26"/>
          <w:szCs w:val="26"/>
        </w:rPr>
        <w:t xml:space="preserve"> realização de operações de crédito. Dispositivos na LOA que estabeleçam essas autorizações não ofendem a exclusividade e, portanto, a determinação de apenas conter receitas e despesas nessa lei orçamentária.</w:t>
      </w:r>
    </w:p>
    <w:p w:rsidR="00806825" w:rsidRPr="002D5AD5" w:rsidRDefault="00806825" w:rsidP="00806825">
      <w:pPr>
        <w:jc w:val="both"/>
        <w:rPr>
          <w:rFonts w:asciiTheme="majorHAnsi" w:hAnsiTheme="majorHAnsi"/>
          <w:sz w:val="26"/>
          <w:szCs w:val="26"/>
        </w:rPr>
      </w:pPr>
    </w:p>
    <w:p w:rsidR="00806825" w:rsidRPr="002D5AD5" w:rsidRDefault="00806825" w:rsidP="00806825">
      <w:pPr>
        <w:jc w:val="both"/>
        <w:rPr>
          <w:rFonts w:asciiTheme="majorHAnsi" w:hAnsiTheme="majorHAnsi"/>
          <w:sz w:val="26"/>
          <w:szCs w:val="26"/>
        </w:rPr>
      </w:pPr>
      <w:r w:rsidRPr="002D5AD5">
        <w:rPr>
          <w:rFonts w:asciiTheme="majorHAnsi" w:hAnsiTheme="majorHAnsi"/>
          <w:sz w:val="26"/>
          <w:szCs w:val="26"/>
        </w:rPr>
        <w:t>Finalmente, ainda acerca dos aspectos mais gerais da LOA, a LRF determina, em seu artigo 5o, § 5o, que os investimentos ali contidos deverão estar de acordo com as disposições do PPA, de forma que não poderá haver dotação que ultrapasse um exercício financeiro, sem que haja previsão no PPA ou se</w:t>
      </w:r>
      <w:r w:rsidR="00E36297" w:rsidRPr="002D5AD5">
        <w:rPr>
          <w:rFonts w:asciiTheme="majorHAnsi" w:hAnsiTheme="majorHAnsi"/>
          <w:sz w:val="26"/>
          <w:szCs w:val="26"/>
        </w:rPr>
        <w:t xml:space="preserve">m lei que autorize tal inclusão, segundo as palavras da doutrinadora </w:t>
      </w:r>
      <w:proofErr w:type="spellStart"/>
      <w:r w:rsidR="00E36297" w:rsidRPr="002D5AD5">
        <w:rPr>
          <w:rFonts w:asciiTheme="majorHAnsi" w:hAnsiTheme="majorHAnsi"/>
          <w:sz w:val="26"/>
          <w:szCs w:val="26"/>
        </w:rPr>
        <w:t>Tathiane</w:t>
      </w:r>
      <w:proofErr w:type="spellEnd"/>
      <w:r w:rsidR="00E36297" w:rsidRPr="002D5AD5">
        <w:rPr>
          <w:rFonts w:asciiTheme="majorHAnsi" w:hAnsiTheme="majorHAnsi"/>
          <w:sz w:val="26"/>
          <w:szCs w:val="26"/>
        </w:rPr>
        <w:t xml:space="preserve"> </w:t>
      </w:r>
      <w:proofErr w:type="spellStart"/>
      <w:r w:rsidR="00E36297" w:rsidRPr="002D5AD5">
        <w:rPr>
          <w:rFonts w:asciiTheme="majorHAnsi" w:hAnsiTheme="majorHAnsi"/>
          <w:sz w:val="26"/>
          <w:szCs w:val="26"/>
        </w:rPr>
        <w:t>Piscitelli</w:t>
      </w:r>
      <w:proofErr w:type="spellEnd"/>
      <w:r w:rsidR="00E36297" w:rsidRPr="002D5AD5">
        <w:rPr>
          <w:rFonts w:asciiTheme="majorHAnsi" w:hAnsiTheme="majorHAnsi"/>
          <w:sz w:val="26"/>
          <w:szCs w:val="26"/>
        </w:rPr>
        <w:t>.</w:t>
      </w:r>
    </w:p>
    <w:p w:rsidR="00806825" w:rsidRPr="002D5AD5" w:rsidRDefault="00806825" w:rsidP="00806825">
      <w:pPr>
        <w:jc w:val="both"/>
        <w:rPr>
          <w:rFonts w:asciiTheme="majorHAnsi" w:hAnsiTheme="majorHAnsi"/>
          <w:sz w:val="26"/>
          <w:szCs w:val="26"/>
        </w:rPr>
      </w:pPr>
    </w:p>
    <w:p w:rsidR="00806825" w:rsidRPr="002D5AD5" w:rsidRDefault="00806825" w:rsidP="00806825">
      <w:pPr>
        <w:jc w:val="both"/>
        <w:rPr>
          <w:rFonts w:asciiTheme="majorHAnsi" w:hAnsiTheme="majorHAnsi"/>
          <w:sz w:val="26"/>
          <w:szCs w:val="26"/>
        </w:rPr>
      </w:pPr>
      <w:r w:rsidRPr="002D5AD5">
        <w:rPr>
          <w:rFonts w:asciiTheme="majorHAnsi" w:hAnsiTheme="majorHAnsi"/>
          <w:sz w:val="26"/>
          <w:szCs w:val="26"/>
        </w:rPr>
        <w:t>A disciplina constitucional dessa lei orçamentária está, basicamente, no artigo 165, inciso III, e nos §§ 5o, 6o, 7o e 8o desse dispositivo. De acordo com o § 5o, a LOA será dividida em três “contas”, chamadas pela Constituição de “orçamentos”. São elas: o orçamento fiscal, o orçamento de investimento e o orçamento da Seguridade Social.</w:t>
      </w:r>
    </w:p>
    <w:p w:rsidR="00806825" w:rsidRPr="002D5AD5" w:rsidRDefault="00806825" w:rsidP="00806825">
      <w:pPr>
        <w:jc w:val="both"/>
        <w:rPr>
          <w:rFonts w:asciiTheme="majorHAnsi" w:hAnsiTheme="majorHAnsi"/>
          <w:sz w:val="26"/>
          <w:szCs w:val="26"/>
        </w:rPr>
      </w:pPr>
    </w:p>
    <w:p w:rsidR="00806825" w:rsidRPr="002D5AD5" w:rsidRDefault="00806825" w:rsidP="00806825">
      <w:pPr>
        <w:jc w:val="both"/>
        <w:rPr>
          <w:rFonts w:asciiTheme="majorHAnsi" w:hAnsiTheme="majorHAnsi"/>
          <w:sz w:val="26"/>
          <w:szCs w:val="26"/>
        </w:rPr>
      </w:pPr>
      <w:r w:rsidRPr="002D5AD5">
        <w:rPr>
          <w:rFonts w:asciiTheme="majorHAnsi" w:hAnsiTheme="majorHAnsi"/>
          <w:sz w:val="26"/>
          <w:szCs w:val="26"/>
        </w:rPr>
        <w:t>O orçamento fiscal trará as receitas e despesa</w:t>
      </w:r>
      <w:r w:rsidR="002D1B69" w:rsidRPr="002D5AD5">
        <w:rPr>
          <w:rFonts w:asciiTheme="majorHAnsi" w:hAnsiTheme="majorHAnsi"/>
          <w:sz w:val="26"/>
          <w:szCs w:val="26"/>
        </w:rPr>
        <w:t>s relativas ao Poder Executivo</w:t>
      </w:r>
      <w:r w:rsidRPr="002D5AD5">
        <w:rPr>
          <w:rFonts w:asciiTheme="majorHAnsi" w:hAnsiTheme="majorHAnsi"/>
          <w:sz w:val="26"/>
          <w:szCs w:val="26"/>
        </w:rPr>
        <w:t xml:space="preserve">, seus fundos, órgãos e entidades da administração direta e indireta, o que inclui as fundações instituídas e mantidas </w:t>
      </w:r>
      <w:r w:rsidR="002D1B69" w:rsidRPr="002D5AD5">
        <w:rPr>
          <w:rFonts w:asciiTheme="majorHAnsi" w:hAnsiTheme="majorHAnsi"/>
          <w:sz w:val="26"/>
          <w:szCs w:val="26"/>
        </w:rPr>
        <w:t>pelo Poder Público</w:t>
      </w:r>
      <w:r w:rsidRPr="002D5AD5">
        <w:rPr>
          <w:rFonts w:asciiTheme="majorHAnsi" w:hAnsiTheme="majorHAnsi"/>
          <w:sz w:val="26"/>
          <w:szCs w:val="26"/>
        </w:rPr>
        <w:t>.</w:t>
      </w:r>
    </w:p>
    <w:p w:rsidR="00806825" w:rsidRPr="002D5AD5" w:rsidRDefault="00806825" w:rsidP="00806825">
      <w:pPr>
        <w:jc w:val="both"/>
        <w:rPr>
          <w:rFonts w:asciiTheme="majorHAnsi" w:hAnsiTheme="majorHAnsi"/>
          <w:sz w:val="26"/>
          <w:szCs w:val="26"/>
        </w:rPr>
      </w:pPr>
    </w:p>
    <w:p w:rsidR="00806825" w:rsidRPr="002D5AD5" w:rsidRDefault="00806825" w:rsidP="00806825">
      <w:pPr>
        <w:jc w:val="both"/>
        <w:rPr>
          <w:rFonts w:asciiTheme="majorHAnsi" w:hAnsiTheme="majorHAnsi"/>
          <w:sz w:val="26"/>
          <w:szCs w:val="26"/>
        </w:rPr>
      </w:pPr>
      <w:r w:rsidRPr="002D5AD5">
        <w:rPr>
          <w:rFonts w:asciiTheme="majorHAnsi" w:hAnsiTheme="majorHAnsi"/>
          <w:sz w:val="26"/>
          <w:szCs w:val="26"/>
        </w:rPr>
        <w:lastRenderedPageBreak/>
        <w:t xml:space="preserve">O orçamento de investimento, de seu turno, especificará as receitas e despesas das empresas </w:t>
      </w:r>
      <w:r w:rsidR="002D1B69" w:rsidRPr="002D5AD5">
        <w:rPr>
          <w:rFonts w:asciiTheme="majorHAnsi" w:hAnsiTheme="majorHAnsi"/>
          <w:sz w:val="26"/>
          <w:szCs w:val="26"/>
        </w:rPr>
        <w:t>em que o Município</w:t>
      </w:r>
      <w:r w:rsidRPr="002D5AD5">
        <w:rPr>
          <w:rFonts w:asciiTheme="majorHAnsi" w:hAnsiTheme="majorHAnsi"/>
          <w:sz w:val="26"/>
          <w:szCs w:val="26"/>
        </w:rPr>
        <w:t xml:space="preserve">, direta ou indiretamente, detenha a maioria do capital social, com direito a voto. Nos termos do § 7o do artigo 165, esse orçamento estará em consonância com o PPA e terá por função, além de fixar as despesas e receitas para o próximo exercício, reduzir as desigualdades entre as </w:t>
      </w:r>
      <w:r w:rsidR="002D1B69" w:rsidRPr="002D5AD5">
        <w:rPr>
          <w:rFonts w:asciiTheme="majorHAnsi" w:hAnsiTheme="majorHAnsi"/>
          <w:sz w:val="26"/>
          <w:szCs w:val="26"/>
        </w:rPr>
        <w:t>diversas regiões do Município, por força do princípio da simetria</w:t>
      </w:r>
      <w:r w:rsidRPr="002D5AD5">
        <w:rPr>
          <w:rFonts w:asciiTheme="majorHAnsi" w:hAnsiTheme="majorHAnsi"/>
          <w:sz w:val="26"/>
          <w:szCs w:val="26"/>
        </w:rPr>
        <w:t>.</w:t>
      </w:r>
    </w:p>
    <w:p w:rsidR="00806825" w:rsidRPr="002D5AD5" w:rsidRDefault="00806825" w:rsidP="00806825">
      <w:pPr>
        <w:jc w:val="both"/>
        <w:rPr>
          <w:rFonts w:asciiTheme="majorHAnsi" w:hAnsiTheme="majorHAnsi"/>
          <w:sz w:val="26"/>
          <w:szCs w:val="26"/>
        </w:rPr>
      </w:pPr>
    </w:p>
    <w:p w:rsidR="00806825" w:rsidRPr="002D5AD5" w:rsidRDefault="00806825" w:rsidP="00806825">
      <w:pPr>
        <w:jc w:val="both"/>
        <w:rPr>
          <w:rFonts w:asciiTheme="majorHAnsi" w:hAnsiTheme="majorHAnsi"/>
          <w:sz w:val="26"/>
          <w:szCs w:val="26"/>
        </w:rPr>
      </w:pPr>
      <w:r w:rsidRPr="002D5AD5">
        <w:rPr>
          <w:rFonts w:asciiTheme="majorHAnsi" w:hAnsiTheme="majorHAnsi"/>
          <w:sz w:val="26"/>
          <w:szCs w:val="26"/>
        </w:rPr>
        <w:t>Por fim, o orçamento da Seguridade Social contemplará as receitas e despesas relativas às entidades e aos órgãos vinculados à Seguridade, seja na administração direta ou indireta, o que igualmente inclui os fundos e fundações instituídas e mantidas pelo Poder Público.</w:t>
      </w:r>
    </w:p>
    <w:p w:rsidR="00806825" w:rsidRPr="002D5AD5" w:rsidRDefault="00806825" w:rsidP="00806825">
      <w:pPr>
        <w:jc w:val="both"/>
        <w:rPr>
          <w:rFonts w:asciiTheme="majorHAnsi" w:hAnsiTheme="majorHAnsi"/>
          <w:sz w:val="26"/>
          <w:szCs w:val="26"/>
        </w:rPr>
      </w:pPr>
    </w:p>
    <w:p w:rsidR="00806825" w:rsidRPr="002D5AD5" w:rsidRDefault="00806825" w:rsidP="00806825">
      <w:pPr>
        <w:jc w:val="both"/>
        <w:rPr>
          <w:rFonts w:asciiTheme="majorHAnsi" w:hAnsiTheme="majorHAnsi"/>
          <w:sz w:val="26"/>
          <w:szCs w:val="26"/>
        </w:rPr>
      </w:pPr>
      <w:r w:rsidRPr="002D5AD5">
        <w:rPr>
          <w:rFonts w:asciiTheme="majorHAnsi" w:hAnsiTheme="majorHAnsi"/>
          <w:sz w:val="26"/>
          <w:szCs w:val="26"/>
        </w:rPr>
        <w:t>Ainda na Constituição, há outra exigência relativa à LOA: o artigo 165, § 6o, estabelece qual deverá ser o conteúdo mínimo do projeto da lei orçamentária, a ser encaminhado ao Poder Legislativo pelo Chefe do Executivo. Nos termos de tal dispositivo, o projeto deverá ser acompanhado de um demonstrativo regionalizado acerca do efeito das renúncias de receitas (leia-se: concessão de incentivos e benefícios de natureza tributária, financeira e creditícia) sobre as receitas e despesas. Ou seja, deve apresentar as consequências da opção pela redução de receitas em face do orçamento estritamente considerado e, portanto, em relação ao equilíbrio necessário entre receitas e despesas. A LRF, de seu turno, complementa a Constituição e estabelece, em seu artigo 5o, novas</w:t>
      </w:r>
      <w:r w:rsidR="005E7F91" w:rsidRPr="002D5AD5">
        <w:rPr>
          <w:rFonts w:asciiTheme="majorHAnsi" w:hAnsiTheme="majorHAnsi"/>
          <w:sz w:val="26"/>
          <w:szCs w:val="26"/>
        </w:rPr>
        <w:t xml:space="preserve"> </w:t>
      </w:r>
      <w:r w:rsidRPr="002D5AD5">
        <w:rPr>
          <w:rFonts w:asciiTheme="majorHAnsi" w:hAnsiTheme="majorHAnsi"/>
          <w:sz w:val="26"/>
          <w:szCs w:val="26"/>
        </w:rPr>
        <w:t>exigências quanto ao conteúdo do projeto da LOA. Em primeiro lugar, deverá conter um anexo no qual se apresente a compatibilidade do orçamento com os objetivos e metas presentes no Anexo de Metas Fiscais (e, portanto, com as diretrizes prescritas na LDO).</w:t>
      </w:r>
    </w:p>
    <w:p w:rsidR="00806825" w:rsidRPr="002D5AD5" w:rsidRDefault="00806825" w:rsidP="00806825">
      <w:pPr>
        <w:jc w:val="both"/>
        <w:rPr>
          <w:rFonts w:asciiTheme="majorHAnsi" w:hAnsiTheme="majorHAnsi"/>
          <w:sz w:val="26"/>
          <w:szCs w:val="26"/>
        </w:rPr>
      </w:pPr>
    </w:p>
    <w:p w:rsidR="00806825" w:rsidRPr="002D5AD5" w:rsidRDefault="00806825" w:rsidP="00806825">
      <w:pPr>
        <w:jc w:val="both"/>
        <w:rPr>
          <w:rFonts w:asciiTheme="majorHAnsi" w:hAnsiTheme="majorHAnsi"/>
          <w:sz w:val="26"/>
          <w:szCs w:val="26"/>
        </w:rPr>
      </w:pPr>
      <w:r w:rsidRPr="002D5AD5">
        <w:rPr>
          <w:rFonts w:asciiTheme="majorHAnsi" w:hAnsiTheme="majorHAnsi"/>
          <w:sz w:val="26"/>
          <w:szCs w:val="26"/>
        </w:rPr>
        <w:t>Além disso, somado ao demonstrativo já previsto na Constituição, acerca dos efeitos das renúncias sobre receitas e despesas, deverão também ser estabelecidas as medidas de compensação aplicáveis àquelas renúncias e também no caso de aumento de despesas obrigatórias de caráter continuado. Trata-se, aqui, de garantir, novamente, o equilíbrio orçamentário, já que as medidas de compensação visam a, exatamente, repor as receitas renunciadas e estabilizar as despesas majoradas.</w:t>
      </w:r>
    </w:p>
    <w:p w:rsidR="00806825" w:rsidRPr="002D5AD5" w:rsidRDefault="00806825" w:rsidP="00806825">
      <w:pPr>
        <w:jc w:val="both"/>
        <w:rPr>
          <w:rFonts w:asciiTheme="majorHAnsi" w:hAnsiTheme="majorHAnsi"/>
          <w:b/>
          <w:sz w:val="28"/>
          <w:szCs w:val="28"/>
          <w:u w:val="single"/>
        </w:rPr>
      </w:pPr>
      <w:r w:rsidRPr="002D5AD5">
        <w:rPr>
          <w:rFonts w:asciiTheme="majorHAnsi" w:hAnsiTheme="majorHAnsi"/>
          <w:sz w:val="26"/>
          <w:szCs w:val="26"/>
        </w:rPr>
        <w:lastRenderedPageBreak/>
        <w:t>Finalmente, o projeto conterá uma reserva de contingência para fazer frente aos riscos fiscais e contingentes discriminados no Anexo de Riscos Fiscais, constantes da LDO. O que se pretende é assegurar que o ente tenha recursos suficientes para suportar financeiramente o advento dos eventos</w:t>
      </w:r>
      <w:r w:rsidR="0087061D" w:rsidRPr="002D5AD5">
        <w:rPr>
          <w:rFonts w:asciiTheme="majorHAnsi" w:hAnsiTheme="majorHAnsi"/>
          <w:sz w:val="26"/>
          <w:szCs w:val="26"/>
        </w:rPr>
        <w:t xml:space="preserve"> </w:t>
      </w:r>
      <w:r w:rsidRPr="002D5AD5">
        <w:rPr>
          <w:rFonts w:asciiTheme="majorHAnsi" w:hAnsiTheme="majorHAnsi"/>
          <w:sz w:val="26"/>
          <w:szCs w:val="26"/>
        </w:rPr>
        <w:t>de risco previstos na LDO. Não obstante, conforme mencionado anteriormente, a reserva de</w:t>
      </w:r>
      <w:r w:rsidR="0087061D" w:rsidRPr="002D5AD5">
        <w:rPr>
          <w:rFonts w:asciiTheme="majorHAnsi" w:hAnsiTheme="majorHAnsi"/>
          <w:sz w:val="26"/>
          <w:szCs w:val="26"/>
        </w:rPr>
        <w:t xml:space="preserve"> </w:t>
      </w:r>
      <w:r w:rsidRPr="002D5AD5">
        <w:rPr>
          <w:rFonts w:asciiTheme="majorHAnsi" w:hAnsiTheme="majorHAnsi"/>
          <w:sz w:val="26"/>
          <w:szCs w:val="26"/>
        </w:rPr>
        <w:t>contingência sequer tem sido considerada nos debates sobre modulação de efeitos em matéria</w:t>
      </w:r>
      <w:r w:rsidR="0087061D" w:rsidRPr="002D5AD5">
        <w:rPr>
          <w:rFonts w:asciiTheme="majorHAnsi" w:hAnsiTheme="majorHAnsi"/>
          <w:sz w:val="26"/>
          <w:szCs w:val="26"/>
        </w:rPr>
        <w:t xml:space="preserve"> </w:t>
      </w:r>
      <w:r w:rsidRPr="002D5AD5">
        <w:rPr>
          <w:rFonts w:asciiTheme="majorHAnsi" w:hAnsiTheme="majorHAnsi"/>
          <w:sz w:val="26"/>
          <w:szCs w:val="26"/>
        </w:rPr>
        <w:t>tributária e o efetivo prejuízo das decisões do STF para as contas públicas.</w:t>
      </w:r>
    </w:p>
    <w:p w:rsidR="0087061D" w:rsidRPr="002D5AD5" w:rsidRDefault="0087061D" w:rsidP="00806825">
      <w:pPr>
        <w:jc w:val="both"/>
        <w:rPr>
          <w:rFonts w:asciiTheme="majorHAnsi" w:hAnsiTheme="majorHAnsi"/>
          <w:sz w:val="26"/>
          <w:szCs w:val="26"/>
        </w:rPr>
      </w:pPr>
    </w:p>
    <w:p w:rsidR="004E613A" w:rsidRPr="002D5AD5" w:rsidRDefault="00806825" w:rsidP="00806825">
      <w:pPr>
        <w:jc w:val="both"/>
        <w:rPr>
          <w:rFonts w:asciiTheme="majorHAnsi" w:hAnsiTheme="majorHAnsi"/>
          <w:sz w:val="26"/>
          <w:szCs w:val="26"/>
        </w:rPr>
      </w:pPr>
      <w:r w:rsidRPr="002D5AD5">
        <w:rPr>
          <w:rFonts w:asciiTheme="majorHAnsi" w:hAnsiTheme="majorHAnsi"/>
          <w:sz w:val="26"/>
          <w:szCs w:val="26"/>
        </w:rPr>
        <w:t>Ainda sobre a reserva de contingência, note-se que essa rubrica não poderá ser alimentada por</w:t>
      </w:r>
      <w:r w:rsidR="0087061D" w:rsidRPr="002D5AD5">
        <w:rPr>
          <w:rFonts w:asciiTheme="majorHAnsi" w:hAnsiTheme="majorHAnsi"/>
          <w:sz w:val="26"/>
          <w:szCs w:val="26"/>
        </w:rPr>
        <w:t xml:space="preserve"> </w:t>
      </w:r>
      <w:r w:rsidRPr="002D5AD5">
        <w:rPr>
          <w:rFonts w:asciiTheme="majorHAnsi" w:hAnsiTheme="majorHAnsi"/>
          <w:sz w:val="26"/>
          <w:szCs w:val="26"/>
        </w:rPr>
        <w:t>tributos que apresentem vinculação constitucional, sob pena de desvirtuamento da finalidade da</w:t>
      </w:r>
      <w:r w:rsidR="0087061D" w:rsidRPr="002D5AD5">
        <w:rPr>
          <w:rFonts w:asciiTheme="majorHAnsi" w:hAnsiTheme="majorHAnsi"/>
          <w:sz w:val="26"/>
          <w:szCs w:val="26"/>
        </w:rPr>
        <w:t xml:space="preserve"> </w:t>
      </w:r>
      <w:r w:rsidRPr="002D5AD5">
        <w:rPr>
          <w:rFonts w:asciiTheme="majorHAnsi" w:hAnsiTheme="majorHAnsi"/>
          <w:sz w:val="26"/>
          <w:szCs w:val="26"/>
        </w:rPr>
        <w:t>exação.</w:t>
      </w:r>
    </w:p>
    <w:p w:rsidR="005E7F91" w:rsidRPr="002D5AD5" w:rsidRDefault="00806825" w:rsidP="00806825">
      <w:pPr>
        <w:jc w:val="both"/>
        <w:rPr>
          <w:rFonts w:asciiTheme="majorHAnsi" w:hAnsiTheme="majorHAnsi"/>
          <w:sz w:val="26"/>
          <w:szCs w:val="26"/>
        </w:rPr>
      </w:pPr>
      <w:r w:rsidRPr="002D5AD5">
        <w:rPr>
          <w:rFonts w:asciiTheme="majorHAnsi" w:hAnsiTheme="majorHAnsi"/>
          <w:sz w:val="26"/>
          <w:szCs w:val="26"/>
        </w:rPr>
        <w:t xml:space="preserve"> </w:t>
      </w:r>
    </w:p>
    <w:p w:rsidR="00CB480F" w:rsidRPr="002D5AD5" w:rsidRDefault="00CB480F" w:rsidP="002C55D2">
      <w:pPr>
        <w:jc w:val="both"/>
        <w:rPr>
          <w:rFonts w:asciiTheme="majorHAnsi" w:hAnsiTheme="majorHAnsi"/>
          <w:sz w:val="26"/>
          <w:szCs w:val="26"/>
        </w:rPr>
      </w:pPr>
      <w:r w:rsidRPr="002D5AD5">
        <w:rPr>
          <w:rFonts w:asciiTheme="majorHAnsi" w:hAnsiTheme="majorHAnsi"/>
          <w:sz w:val="26"/>
          <w:szCs w:val="26"/>
        </w:rPr>
        <w:t>E foi o que conseguiu o Chefe do Poder Exe</w:t>
      </w:r>
      <w:r w:rsidR="004E613A" w:rsidRPr="002D5AD5">
        <w:rPr>
          <w:rFonts w:asciiTheme="majorHAnsi" w:hAnsiTheme="majorHAnsi"/>
          <w:sz w:val="26"/>
          <w:szCs w:val="26"/>
        </w:rPr>
        <w:t>cutivo, ao colocar em prática na Lei Orçamentária Anual (LOA), o disposto no</w:t>
      </w:r>
      <w:r w:rsidRPr="002D5AD5">
        <w:rPr>
          <w:rFonts w:asciiTheme="majorHAnsi" w:hAnsiTheme="majorHAnsi"/>
          <w:sz w:val="26"/>
          <w:szCs w:val="26"/>
        </w:rPr>
        <w:t xml:space="preserve"> Plano Plurianual</w:t>
      </w:r>
      <w:r w:rsidR="004E613A" w:rsidRPr="002D5AD5">
        <w:rPr>
          <w:rFonts w:asciiTheme="majorHAnsi" w:hAnsiTheme="majorHAnsi"/>
          <w:sz w:val="26"/>
          <w:szCs w:val="26"/>
        </w:rPr>
        <w:t xml:space="preserve"> bem como na Lei de Diretrizes Orçamentárias (LDO)</w:t>
      </w:r>
      <w:r w:rsidR="00A90904" w:rsidRPr="002D5AD5">
        <w:rPr>
          <w:rFonts w:asciiTheme="majorHAnsi" w:hAnsiTheme="majorHAnsi"/>
          <w:sz w:val="26"/>
          <w:szCs w:val="26"/>
        </w:rPr>
        <w:t>.</w:t>
      </w:r>
    </w:p>
    <w:p w:rsidR="00EF6CD4" w:rsidRPr="002D5AD5" w:rsidRDefault="00EF6CD4" w:rsidP="00EF6CD4">
      <w:pPr>
        <w:jc w:val="both"/>
        <w:rPr>
          <w:rFonts w:asciiTheme="majorHAnsi" w:hAnsiTheme="majorHAnsi"/>
          <w:sz w:val="26"/>
          <w:szCs w:val="26"/>
        </w:rPr>
      </w:pPr>
    </w:p>
    <w:p w:rsidR="009A1EF0" w:rsidRPr="002D5AD5" w:rsidRDefault="004E613A" w:rsidP="004B2FCA">
      <w:pPr>
        <w:jc w:val="both"/>
        <w:rPr>
          <w:rFonts w:asciiTheme="majorHAnsi" w:hAnsiTheme="majorHAnsi"/>
          <w:sz w:val="26"/>
          <w:szCs w:val="26"/>
        </w:rPr>
      </w:pPr>
      <w:r w:rsidRPr="002D5AD5">
        <w:rPr>
          <w:rFonts w:asciiTheme="majorHAnsi" w:hAnsiTheme="majorHAnsi"/>
          <w:sz w:val="26"/>
          <w:szCs w:val="26"/>
        </w:rPr>
        <w:t>A Lei Orçamentária Anual (LO</w:t>
      </w:r>
      <w:r w:rsidR="00A90904" w:rsidRPr="002D5AD5">
        <w:rPr>
          <w:rFonts w:asciiTheme="majorHAnsi" w:hAnsiTheme="majorHAnsi"/>
          <w:sz w:val="26"/>
          <w:szCs w:val="26"/>
        </w:rPr>
        <w:t>A)</w:t>
      </w:r>
      <w:r w:rsidR="005F65F3" w:rsidRPr="002D5AD5">
        <w:rPr>
          <w:rFonts w:asciiTheme="majorHAnsi" w:hAnsiTheme="majorHAnsi"/>
          <w:sz w:val="26"/>
          <w:szCs w:val="26"/>
        </w:rPr>
        <w:t xml:space="preserve"> deve atender aos seus princípios norteadores, além dos insculpidos no artigo 37 da Constituição Federal, que direcionam todos os atos da Administração Pública.</w:t>
      </w:r>
    </w:p>
    <w:p w:rsidR="00484291" w:rsidRPr="002D5AD5" w:rsidRDefault="00484291" w:rsidP="004B2FCA">
      <w:pPr>
        <w:jc w:val="both"/>
        <w:rPr>
          <w:rFonts w:asciiTheme="majorHAnsi" w:hAnsiTheme="majorHAnsi"/>
          <w:sz w:val="26"/>
          <w:szCs w:val="26"/>
        </w:rPr>
      </w:pPr>
    </w:p>
    <w:p w:rsidR="005F65F3" w:rsidRPr="002D5AD5" w:rsidRDefault="005F65F3" w:rsidP="004B2FCA">
      <w:pPr>
        <w:jc w:val="both"/>
        <w:rPr>
          <w:rFonts w:asciiTheme="majorHAnsi" w:hAnsiTheme="majorHAnsi"/>
          <w:b/>
          <w:sz w:val="28"/>
          <w:szCs w:val="28"/>
          <w:u w:val="single"/>
        </w:rPr>
      </w:pPr>
      <w:r w:rsidRPr="002D5AD5">
        <w:rPr>
          <w:rFonts w:asciiTheme="majorHAnsi" w:hAnsiTheme="majorHAnsi"/>
          <w:b/>
          <w:sz w:val="28"/>
          <w:szCs w:val="28"/>
          <w:u w:val="single"/>
        </w:rPr>
        <w:t>DOS PRINCÍPIOS</w:t>
      </w:r>
    </w:p>
    <w:p w:rsidR="009A1EF0" w:rsidRPr="002D5AD5" w:rsidRDefault="005F65F3" w:rsidP="004B2FCA">
      <w:pPr>
        <w:jc w:val="both"/>
        <w:rPr>
          <w:rFonts w:asciiTheme="majorHAnsi" w:hAnsiTheme="majorHAnsi"/>
          <w:sz w:val="26"/>
          <w:szCs w:val="26"/>
        </w:rPr>
      </w:pPr>
      <w:r w:rsidRPr="002D5AD5">
        <w:rPr>
          <w:rFonts w:asciiTheme="majorHAnsi" w:hAnsiTheme="majorHAnsi"/>
          <w:b/>
          <w:sz w:val="28"/>
          <w:szCs w:val="28"/>
        </w:rPr>
        <w:t xml:space="preserve"> </w:t>
      </w:r>
      <w:r w:rsidR="00E10DC3" w:rsidRPr="002D5AD5">
        <w:rPr>
          <w:rFonts w:asciiTheme="majorHAnsi" w:hAnsiTheme="majorHAnsi"/>
          <w:b/>
          <w:sz w:val="26"/>
          <w:szCs w:val="26"/>
        </w:rPr>
        <w:t>1</w:t>
      </w:r>
      <w:r w:rsidR="00E10DC3" w:rsidRPr="002D5AD5">
        <w:rPr>
          <w:rFonts w:asciiTheme="majorHAnsi" w:hAnsiTheme="majorHAnsi"/>
          <w:sz w:val="26"/>
          <w:szCs w:val="26"/>
        </w:rPr>
        <w:t xml:space="preserve">) </w:t>
      </w:r>
      <w:r w:rsidR="00813942" w:rsidRPr="002D5AD5">
        <w:rPr>
          <w:rFonts w:asciiTheme="majorHAnsi" w:hAnsiTheme="majorHAnsi"/>
          <w:sz w:val="26"/>
          <w:szCs w:val="26"/>
        </w:rPr>
        <w:t xml:space="preserve">O princípio orçamentário da </w:t>
      </w:r>
      <w:r w:rsidRPr="002D5AD5">
        <w:rPr>
          <w:rFonts w:asciiTheme="majorHAnsi" w:hAnsiTheme="majorHAnsi"/>
          <w:b/>
          <w:sz w:val="26"/>
          <w:szCs w:val="26"/>
          <w:u w:val="single"/>
        </w:rPr>
        <w:t>L</w:t>
      </w:r>
      <w:r w:rsidR="00813942" w:rsidRPr="002D5AD5">
        <w:rPr>
          <w:rFonts w:asciiTheme="majorHAnsi" w:hAnsiTheme="majorHAnsi"/>
          <w:b/>
          <w:sz w:val="26"/>
          <w:szCs w:val="26"/>
          <w:u w:val="single"/>
        </w:rPr>
        <w:t>egalidade</w:t>
      </w:r>
      <w:r w:rsidR="00813942" w:rsidRPr="002D5AD5">
        <w:rPr>
          <w:rFonts w:asciiTheme="majorHAnsi" w:hAnsiTheme="majorHAnsi"/>
          <w:sz w:val="26"/>
          <w:szCs w:val="26"/>
        </w:rPr>
        <w:t xml:space="preserve"> determina que a Administração Pública realize as suas atividades segundo as previsões das leis orçamentárias</w:t>
      </w:r>
      <w:r w:rsidRPr="002D5AD5">
        <w:rPr>
          <w:rFonts w:asciiTheme="majorHAnsi" w:hAnsiTheme="majorHAnsi"/>
          <w:sz w:val="26"/>
          <w:szCs w:val="26"/>
        </w:rPr>
        <w:t>. A Constituição reza, e</w:t>
      </w:r>
      <w:r w:rsidR="00813942" w:rsidRPr="002D5AD5">
        <w:rPr>
          <w:rFonts w:asciiTheme="majorHAnsi" w:hAnsiTheme="majorHAnsi"/>
          <w:sz w:val="26"/>
          <w:szCs w:val="26"/>
        </w:rPr>
        <w:t>m seu art. 165</w:t>
      </w:r>
      <w:r w:rsidRPr="002D5AD5">
        <w:rPr>
          <w:rFonts w:asciiTheme="majorHAnsi" w:hAnsiTheme="majorHAnsi"/>
          <w:sz w:val="26"/>
          <w:szCs w:val="26"/>
        </w:rPr>
        <w:t>,</w:t>
      </w:r>
      <w:r w:rsidR="00813942" w:rsidRPr="002D5AD5">
        <w:rPr>
          <w:rFonts w:asciiTheme="majorHAnsi" w:hAnsiTheme="majorHAnsi"/>
          <w:sz w:val="26"/>
          <w:szCs w:val="26"/>
        </w:rPr>
        <w:t xml:space="preserve"> que o Poder Executivo terá a inici</w:t>
      </w:r>
      <w:r w:rsidRPr="002D5AD5">
        <w:rPr>
          <w:rFonts w:asciiTheme="majorHAnsi" w:hAnsiTheme="majorHAnsi"/>
          <w:sz w:val="26"/>
          <w:szCs w:val="26"/>
        </w:rPr>
        <w:t>ativa par</w:t>
      </w:r>
      <w:r w:rsidR="004E613A" w:rsidRPr="002D5AD5">
        <w:rPr>
          <w:rFonts w:asciiTheme="majorHAnsi" w:hAnsiTheme="majorHAnsi"/>
          <w:sz w:val="26"/>
          <w:szCs w:val="26"/>
        </w:rPr>
        <w:t>a realizar a Lei Orçamentária Anual (LOA</w:t>
      </w:r>
      <w:r w:rsidR="00D31BFA" w:rsidRPr="002D5AD5">
        <w:rPr>
          <w:rFonts w:asciiTheme="majorHAnsi" w:hAnsiTheme="majorHAnsi"/>
          <w:sz w:val="26"/>
          <w:szCs w:val="26"/>
        </w:rPr>
        <w:t>)</w:t>
      </w:r>
      <w:r w:rsidRPr="002D5AD5">
        <w:rPr>
          <w:rFonts w:asciiTheme="majorHAnsi" w:hAnsiTheme="majorHAnsi"/>
          <w:sz w:val="26"/>
          <w:szCs w:val="26"/>
        </w:rPr>
        <w:t>.</w:t>
      </w:r>
    </w:p>
    <w:p w:rsidR="005F65F3" w:rsidRPr="002D5AD5" w:rsidRDefault="005F65F3" w:rsidP="004B2FCA">
      <w:pPr>
        <w:jc w:val="both"/>
        <w:rPr>
          <w:rFonts w:asciiTheme="majorHAnsi" w:hAnsiTheme="majorHAnsi"/>
          <w:sz w:val="26"/>
          <w:szCs w:val="26"/>
        </w:rPr>
      </w:pPr>
    </w:p>
    <w:p w:rsidR="005F65F3" w:rsidRPr="002D5AD5" w:rsidRDefault="005F65F3" w:rsidP="004B2FCA">
      <w:pPr>
        <w:jc w:val="both"/>
        <w:rPr>
          <w:rFonts w:asciiTheme="majorHAnsi" w:hAnsiTheme="majorHAnsi"/>
          <w:sz w:val="26"/>
          <w:szCs w:val="26"/>
        </w:rPr>
      </w:pPr>
      <w:r w:rsidRPr="002D5AD5">
        <w:rPr>
          <w:rFonts w:asciiTheme="majorHAnsi" w:hAnsiTheme="majorHAnsi"/>
          <w:sz w:val="26"/>
          <w:szCs w:val="26"/>
        </w:rPr>
        <w:t>Então, percebe-se</w:t>
      </w:r>
      <w:r w:rsidR="00E10DC3" w:rsidRPr="002D5AD5">
        <w:rPr>
          <w:rFonts w:asciiTheme="majorHAnsi" w:hAnsiTheme="majorHAnsi"/>
          <w:sz w:val="26"/>
          <w:szCs w:val="26"/>
        </w:rPr>
        <w:t>,</w:t>
      </w:r>
      <w:r w:rsidRPr="002D5AD5">
        <w:rPr>
          <w:rFonts w:asciiTheme="majorHAnsi" w:hAnsiTheme="majorHAnsi"/>
          <w:sz w:val="26"/>
          <w:szCs w:val="26"/>
        </w:rPr>
        <w:t xml:space="preserve"> de pronto</w:t>
      </w:r>
      <w:r w:rsidR="00E10DC3" w:rsidRPr="002D5AD5">
        <w:rPr>
          <w:rFonts w:asciiTheme="majorHAnsi" w:hAnsiTheme="majorHAnsi"/>
          <w:sz w:val="26"/>
          <w:szCs w:val="26"/>
        </w:rPr>
        <w:t>,</w:t>
      </w:r>
      <w:r w:rsidRPr="002D5AD5">
        <w:rPr>
          <w:rFonts w:asciiTheme="majorHAnsi" w:hAnsiTheme="majorHAnsi"/>
          <w:sz w:val="26"/>
          <w:szCs w:val="26"/>
        </w:rPr>
        <w:t xml:space="preserve"> que </w:t>
      </w:r>
      <w:r w:rsidRPr="002D5AD5">
        <w:rPr>
          <w:rFonts w:asciiTheme="majorHAnsi" w:hAnsiTheme="majorHAnsi"/>
          <w:b/>
          <w:sz w:val="26"/>
          <w:szCs w:val="26"/>
          <w:u w:val="single"/>
        </w:rPr>
        <w:t>NÃO EXISTE</w:t>
      </w:r>
      <w:r w:rsidRPr="002D5AD5">
        <w:rPr>
          <w:rFonts w:asciiTheme="majorHAnsi" w:hAnsiTheme="majorHAnsi"/>
          <w:sz w:val="26"/>
          <w:szCs w:val="26"/>
        </w:rPr>
        <w:t xml:space="preserve"> vício de iniciativa.</w:t>
      </w:r>
    </w:p>
    <w:p w:rsidR="008A7D8F" w:rsidRPr="002D5AD5" w:rsidRDefault="008A7D8F" w:rsidP="004B2FCA">
      <w:pPr>
        <w:jc w:val="both"/>
        <w:rPr>
          <w:rFonts w:asciiTheme="majorHAnsi" w:hAnsiTheme="majorHAnsi"/>
          <w:sz w:val="26"/>
          <w:szCs w:val="26"/>
        </w:rPr>
      </w:pPr>
    </w:p>
    <w:p w:rsidR="00915D76" w:rsidRPr="002D5AD5" w:rsidRDefault="00EA30B0" w:rsidP="00915D76">
      <w:pPr>
        <w:jc w:val="both"/>
        <w:rPr>
          <w:rFonts w:asciiTheme="majorHAnsi" w:hAnsiTheme="majorHAnsi"/>
          <w:sz w:val="26"/>
          <w:szCs w:val="26"/>
        </w:rPr>
      </w:pPr>
      <w:proofErr w:type="gramStart"/>
      <w:r w:rsidRPr="002D5AD5">
        <w:rPr>
          <w:rFonts w:asciiTheme="majorHAnsi" w:hAnsiTheme="majorHAnsi"/>
          <w:b/>
          <w:sz w:val="26"/>
          <w:szCs w:val="26"/>
        </w:rPr>
        <w:t>2</w:t>
      </w:r>
      <w:r w:rsidR="00915D76" w:rsidRPr="002D5AD5">
        <w:rPr>
          <w:rFonts w:asciiTheme="majorHAnsi" w:hAnsiTheme="majorHAnsi"/>
          <w:sz w:val="26"/>
          <w:szCs w:val="26"/>
        </w:rPr>
        <w:t>) Outro</w:t>
      </w:r>
      <w:proofErr w:type="gramEnd"/>
      <w:r w:rsidR="00915D76" w:rsidRPr="002D5AD5">
        <w:rPr>
          <w:rFonts w:asciiTheme="majorHAnsi" w:hAnsiTheme="majorHAnsi"/>
          <w:sz w:val="26"/>
          <w:szCs w:val="26"/>
        </w:rPr>
        <w:t xml:space="preserve"> princípio orçamentário, o da </w:t>
      </w:r>
      <w:r w:rsidR="00915D76" w:rsidRPr="002D5AD5">
        <w:rPr>
          <w:rFonts w:asciiTheme="majorHAnsi" w:hAnsiTheme="majorHAnsi"/>
          <w:b/>
          <w:sz w:val="26"/>
          <w:szCs w:val="26"/>
          <w:u w:val="single"/>
        </w:rPr>
        <w:t>Exclusividade</w:t>
      </w:r>
      <w:r w:rsidR="00915D76" w:rsidRPr="002D5AD5">
        <w:rPr>
          <w:rFonts w:asciiTheme="majorHAnsi" w:hAnsiTheme="majorHAnsi"/>
          <w:sz w:val="26"/>
          <w:szCs w:val="26"/>
        </w:rPr>
        <w:t xml:space="preserve">, veda que a lei orçamentária trate de qualquer outra matéria que não seja referente a receitas e despesas. O § </w:t>
      </w:r>
      <w:r w:rsidR="00915D76" w:rsidRPr="002D5AD5">
        <w:rPr>
          <w:rFonts w:asciiTheme="majorHAnsi" w:hAnsiTheme="majorHAnsi"/>
          <w:sz w:val="26"/>
          <w:szCs w:val="26"/>
        </w:rPr>
        <w:lastRenderedPageBreak/>
        <w:t xml:space="preserve">8º do art. 165 da Constituição Federal afirma que a lei orçamentária anual, não conterá dispositivo estranho à previsão da receita e à fixação da despesa, não se incluindo na proibição a autorização para abertura de créditos suplementares e contratação de operações de crédito, ainda que por antecipação de receita, nos termos da lei. </w:t>
      </w:r>
    </w:p>
    <w:p w:rsidR="00915D76" w:rsidRPr="002D5AD5" w:rsidRDefault="00915D76" w:rsidP="00915D76">
      <w:pPr>
        <w:jc w:val="both"/>
        <w:rPr>
          <w:rFonts w:asciiTheme="majorHAnsi" w:hAnsiTheme="majorHAnsi"/>
          <w:sz w:val="26"/>
          <w:szCs w:val="26"/>
        </w:rPr>
      </w:pPr>
    </w:p>
    <w:p w:rsidR="00915D76" w:rsidRPr="002D5AD5" w:rsidRDefault="00915D76" w:rsidP="00915D76">
      <w:pPr>
        <w:jc w:val="both"/>
        <w:rPr>
          <w:rFonts w:asciiTheme="majorHAnsi" w:hAnsiTheme="majorHAnsi"/>
          <w:sz w:val="26"/>
          <w:szCs w:val="26"/>
        </w:rPr>
      </w:pPr>
      <w:r w:rsidRPr="002D5AD5">
        <w:rPr>
          <w:rFonts w:asciiTheme="majorHAnsi" w:hAnsiTheme="majorHAnsi"/>
          <w:sz w:val="26"/>
          <w:szCs w:val="26"/>
        </w:rPr>
        <w:t>Assim, a lei do orçamento anual deverá se prestar, apenas e exclusivamente, para prever as receitas e autorizar as despesas do Estado, evitando-se, dessa forma, a inclusão de assuntos estranhos no orçamento.</w:t>
      </w:r>
    </w:p>
    <w:p w:rsidR="00915D76" w:rsidRPr="002D5AD5" w:rsidRDefault="00915D76" w:rsidP="00915D76">
      <w:pPr>
        <w:jc w:val="both"/>
        <w:rPr>
          <w:rFonts w:asciiTheme="majorHAnsi" w:hAnsiTheme="majorHAnsi"/>
          <w:sz w:val="26"/>
          <w:szCs w:val="26"/>
        </w:rPr>
      </w:pPr>
    </w:p>
    <w:p w:rsidR="00B01CF4" w:rsidRPr="002D5AD5" w:rsidRDefault="00915D76" w:rsidP="00915D76">
      <w:pPr>
        <w:jc w:val="both"/>
        <w:rPr>
          <w:rFonts w:asciiTheme="majorHAnsi" w:hAnsiTheme="majorHAnsi"/>
          <w:sz w:val="26"/>
          <w:szCs w:val="26"/>
        </w:rPr>
      </w:pPr>
      <w:r w:rsidRPr="002D5AD5">
        <w:rPr>
          <w:rFonts w:asciiTheme="majorHAnsi" w:hAnsiTheme="majorHAnsi"/>
          <w:sz w:val="26"/>
          <w:szCs w:val="26"/>
        </w:rPr>
        <w:t>Infere-se que o princípio em destaque foi contemplado pela Lei em análise.</w:t>
      </w:r>
    </w:p>
    <w:p w:rsidR="00B01CF4" w:rsidRPr="002D5AD5" w:rsidRDefault="00B01CF4" w:rsidP="004B2FCA">
      <w:pPr>
        <w:jc w:val="both"/>
        <w:rPr>
          <w:rFonts w:asciiTheme="majorHAnsi" w:hAnsiTheme="majorHAnsi"/>
          <w:sz w:val="26"/>
          <w:szCs w:val="26"/>
        </w:rPr>
      </w:pPr>
    </w:p>
    <w:p w:rsidR="00E95C32" w:rsidRPr="002D5AD5" w:rsidRDefault="00EA30B0" w:rsidP="004B2FCA">
      <w:pPr>
        <w:jc w:val="both"/>
        <w:rPr>
          <w:rFonts w:asciiTheme="majorHAnsi" w:hAnsiTheme="majorHAnsi"/>
          <w:sz w:val="26"/>
          <w:szCs w:val="26"/>
        </w:rPr>
      </w:pPr>
      <w:proofErr w:type="gramStart"/>
      <w:r w:rsidRPr="002D5AD5">
        <w:rPr>
          <w:rFonts w:asciiTheme="majorHAnsi" w:hAnsiTheme="majorHAnsi"/>
          <w:b/>
          <w:sz w:val="26"/>
          <w:szCs w:val="26"/>
        </w:rPr>
        <w:t>3</w:t>
      </w:r>
      <w:r w:rsidR="00E10DC3" w:rsidRPr="002D5AD5">
        <w:rPr>
          <w:rFonts w:asciiTheme="majorHAnsi" w:hAnsiTheme="majorHAnsi"/>
          <w:sz w:val="26"/>
          <w:szCs w:val="26"/>
        </w:rPr>
        <w:t xml:space="preserve">) </w:t>
      </w:r>
      <w:r w:rsidR="00E95C32" w:rsidRPr="002D5AD5">
        <w:rPr>
          <w:rFonts w:asciiTheme="majorHAnsi" w:hAnsiTheme="majorHAnsi"/>
          <w:sz w:val="26"/>
          <w:szCs w:val="26"/>
        </w:rPr>
        <w:t>Já</w:t>
      </w:r>
      <w:proofErr w:type="gramEnd"/>
      <w:r w:rsidR="00E95C32" w:rsidRPr="002D5AD5">
        <w:rPr>
          <w:rFonts w:asciiTheme="majorHAnsi" w:hAnsiTheme="majorHAnsi"/>
          <w:sz w:val="26"/>
          <w:szCs w:val="26"/>
        </w:rPr>
        <w:t xml:space="preserve"> o</w:t>
      </w:r>
      <w:r w:rsidR="00813942" w:rsidRPr="002D5AD5">
        <w:rPr>
          <w:rFonts w:asciiTheme="majorHAnsi" w:hAnsiTheme="majorHAnsi"/>
          <w:sz w:val="26"/>
          <w:szCs w:val="26"/>
        </w:rPr>
        <w:t xml:space="preserve"> princípio orçamentário da </w:t>
      </w:r>
      <w:r w:rsidR="00B01CF4" w:rsidRPr="002D5AD5">
        <w:rPr>
          <w:rFonts w:asciiTheme="majorHAnsi" w:hAnsiTheme="majorHAnsi"/>
          <w:b/>
          <w:sz w:val="26"/>
          <w:szCs w:val="26"/>
          <w:u w:val="single"/>
        </w:rPr>
        <w:t>L</w:t>
      </w:r>
      <w:r w:rsidR="00813942" w:rsidRPr="002D5AD5">
        <w:rPr>
          <w:rFonts w:asciiTheme="majorHAnsi" w:hAnsiTheme="majorHAnsi"/>
          <w:b/>
          <w:sz w:val="26"/>
          <w:szCs w:val="26"/>
          <w:u w:val="single"/>
        </w:rPr>
        <w:t>imitação</w:t>
      </w:r>
      <w:r w:rsidR="00813942" w:rsidRPr="002D5AD5">
        <w:rPr>
          <w:rFonts w:asciiTheme="majorHAnsi" w:hAnsiTheme="majorHAnsi"/>
          <w:sz w:val="26"/>
          <w:szCs w:val="26"/>
        </w:rPr>
        <w:t xml:space="preserve"> condiciona a realização de despesas e a utilização de créditos ao</w:t>
      </w:r>
      <w:r w:rsidR="000E4B52" w:rsidRPr="002D5AD5">
        <w:rPr>
          <w:rFonts w:asciiTheme="majorHAnsi" w:hAnsiTheme="majorHAnsi"/>
          <w:sz w:val="26"/>
          <w:szCs w:val="26"/>
        </w:rPr>
        <w:t xml:space="preserve"> montante previsto no orçamento, no que foi obedecido.</w:t>
      </w:r>
    </w:p>
    <w:p w:rsidR="00B97AA7" w:rsidRPr="002D5AD5" w:rsidRDefault="00B97AA7" w:rsidP="004B2FCA">
      <w:pPr>
        <w:jc w:val="both"/>
        <w:rPr>
          <w:rFonts w:asciiTheme="majorHAnsi" w:hAnsiTheme="majorHAnsi"/>
        </w:rPr>
      </w:pPr>
    </w:p>
    <w:p w:rsidR="00FD1093" w:rsidRPr="002D5AD5" w:rsidRDefault="00EA30B0" w:rsidP="004B2FCA">
      <w:pPr>
        <w:jc w:val="both"/>
        <w:rPr>
          <w:rFonts w:asciiTheme="majorHAnsi" w:hAnsiTheme="majorHAnsi"/>
          <w:sz w:val="26"/>
          <w:szCs w:val="26"/>
        </w:rPr>
      </w:pPr>
      <w:r w:rsidRPr="002D5AD5">
        <w:rPr>
          <w:rFonts w:asciiTheme="majorHAnsi" w:hAnsiTheme="majorHAnsi"/>
          <w:b/>
          <w:sz w:val="26"/>
          <w:szCs w:val="26"/>
        </w:rPr>
        <w:t>4</w:t>
      </w:r>
      <w:r w:rsidR="00E10DC3" w:rsidRPr="002D5AD5">
        <w:rPr>
          <w:rFonts w:asciiTheme="majorHAnsi" w:hAnsiTheme="majorHAnsi"/>
          <w:sz w:val="26"/>
          <w:szCs w:val="26"/>
        </w:rPr>
        <w:t xml:space="preserve">) </w:t>
      </w:r>
      <w:r w:rsidR="00684216" w:rsidRPr="002D5AD5">
        <w:rPr>
          <w:rFonts w:asciiTheme="majorHAnsi" w:hAnsiTheme="majorHAnsi"/>
          <w:sz w:val="26"/>
          <w:szCs w:val="26"/>
        </w:rPr>
        <w:t>Dois</w:t>
      </w:r>
      <w:r w:rsidR="00B97AA7" w:rsidRPr="002D5AD5">
        <w:rPr>
          <w:rFonts w:asciiTheme="majorHAnsi" w:hAnsiTheme="majorHAnsi"/>
          <w:sz w:val="26"/>
          <w:szCs w:val="26"/>
        </w:rPr>
        <w:t xml:space="preserve"> princípio</w:t>
      </w:r>
      <w:r w:rsidR="00684216" w:rsidRPr="002D5AD5">
        <w:rPr>
          <w:rFonts w:asciiTheme="majorHAnsi" w:hAnsiTheme="majorHAnsi"/>
          <w:sz w:val="26"/>
          <w:szCs w:val="26"/>
        </w:rPr>
        <w:t>s</w:t>
      </w:r>
      <w:r w:rsidR="00B97AA7" w:rsidRPr="002D5AD5">
        <w:rPr>
          <w:rFonts w:asciiTheme="majorHAnsi" w:hAnsiTheme="majorHAnsi"/>
          <w:sz w:val="26"/>
          <w:szCs w:val="26"/>
        </w:rPr>
        <w:t xml:space="preserve"> orçamentário</w:t>
      </w:r>
      <w:r w:rsidR="00684216" w:rsidRPr="002D5AD5">
        <w:rPr>
          <w:rFonts w:asciiTheme="majorHAnsi" w:hAnsiTheme="majorHAnsi"/>
          <w:sz w:val="26"/>
          <w:szCs w:val="26"/>
        </w:rPr>
        <w:t>s,</w:t>
      </w:r>
      <w:r w:rsidR="00B97AA7" w:rsidRPr="002D5AD5">
        <w:rPr>
          <w:rFonts w:asciiTheme="majorHAnsi" w:hAnsiTheme="majorHAnsi"/>
          <w:sz w:val="26"/>
          <w:szCs w:val="26"/>
        </w:rPr>
        <w:t xml:space="preserve"> da </w:t>
      </w:r>
      <w:r w:rsidR="00EA2658" w:rsidRPr="002D5AD5">
        <w:rPr>
          <w:rFonts w:asciiTheme="majorHAnsi" w:hAnsiTheme="majorHAnsi"/>
          <w:b/>
          <w:sz w:val="26"/>
          <w:szCs w:val="26"/>
          <w:u w:val="single"/>
        </w:rPr>
        <w:t>T</w:t>
      </w:r>
      <w:r w:rsidR="00B97AA7" w:rsidRPr="002D5AD5">
        <w:rPr>
          <w:rFonts w:asciiTheme="majorHAnsi" w:hAnsiTheme="majorHAnsi"/>
          <w:b/>
          <w:sz w:val="26"/>
          <w:szCs w:val="26"/>
          <w:u w:val="single"/>
        </w:rPr>
        <w:t>ecnicidade</w:t>
      </w:r>
      <w:r w:rsidR="00684216" w:rsidRPr="002D5AD5">
        <w:rPr>
          <w:rFonts w:asciiTheme="majorHAnsi" w:hAnsiTheme="majorHAnsi"/>
          <w:sz w:val="26"/>
          <w:szCs w:val="26"/>
        </w:rPr>
        <w:t xml:space="preserve"> e da </w:t>
      </w:r>
      <w:r w:rsidR="00684216" w:rsidRPr="002D5AD5">
        <w:rPr>
          <w:rFonts w:asciiTheme="majorHAnsi" w:hAnsiTheme="majorHAnsi"/>
          <w:b/>
          <w:sz w:val="26"/>
          <w:szCs w:val="26"/>
          <w:u w:val="single"/>
        </w:rPr>
        <w:t>Transparência</w:t>
      </w:r>
      <w:r w:rsidR="00684216" w:rsidRPr="002D5AD5">
        <w:rPr>
          <w:rFonts w:asciiTheme="majorHAnsi" w:hAnsiTheme="majorHAnsi"/>
          <w:sz w:val="26"/>
          <w:szCs w:val="26"/>
        </w:rPr>
        <w:t xml:space="preserve">, coexistem, quase que numa simbiose, vez que o primeiro </w:t>
      </w:r>
      <w:r w:rsidR="00B97AA7" w:rsidRPr="002D5AD5">
        <w:rPr>
          <w:rFonts w:asciiTheme="majorHAnsi" w:hAnsiTheme="majorHAnsi"/>
          <w:sz w:val="26"/>
          <w:szCs w:val="26"/>
        </w:rPr>
        <w:t>impõe ao orçamento características que permitam ao usuário a sua ampla compreens</w:t>
      </w:r>
      <w:r w:rsidR="00684216" w:rsidRPr="002D5AD5">
        <w:rPr>
          <w:rFonts w:asciiTheme="majorHAnsi" w:hAnsiTheme="majorHAnsi"/>
          <w:sz w:val="26"/>
          <w:szCs w:val="26"/>
        </w:rPr>
        <w:t>ão,</w:t>
      </w:r>
      <w:r w:rsidR="0083657E" w:rsidRPr="002D5AD5">
        <w:rPr>
          <w:rFonts w:asciiTheme="majorHAnsi" w:hAnsiTheme="majorHAnsi"/>
          <w:sz w:val="26"/>
          <w:szCs w:val="26"/>
        </w:rPr>
        <w:t xml:space="preserve">  como a p</w:t>
      </w:r>
      <w:r w:rsidR="00B97AA7" w:rsidRPr="002D5AD5">
        <w:rPr>
          <w:rFonts w:asciiTheme="majorHAnsi" w:hAnsiTheme="majorHAnsi"/>
          <w:sz w:val="26"/>
          <w:szCs w:val="26"/>
        </w:rPr>
        <w:t>adro</w:t>
      </w:r>
      <w:r w:rsidR="00684216" w:rsidRPr="002D5AD5">
        <w:rPr>
          <w:rFonts w:asciiTheme="majorHAnsi" w:hAnsiTheme="majorHAnsi"/>
          <w:sz w:val="26"/>
          <w:szCs w:val="26"/>
        </w:rPr>
        <w:t>nização na apresentação dos dados, no mister de possibilitar</w:t>
      </w:r>
      <w:r w:rsidR="00FD1093" w:rsidRPr="002D5AD5">
        <w:rPr>
          <w:rFonts w:asciiTheme="majorHAnsi" w:hAnsiTheme="majorHAnsi"/>
          <w:sz w:val="26"/>
          <w:szCs w:val="26"/>
        </w:rPr>
        <w:t xml:space="preserve"> ao leigo</w:t>
      </w:r>
      <w:r w:rsidR="00B97AA7" w:rsidRPr="002D5AD5">
        <w:rPr>
          <w:rFonts w:asciiTheme="majorHAnsi" w:hAnsiTheme="majorHAnsi"/>
          <w:sz w:val="26"/>
          <w:szCs w:val="26"/>
        </w:rPr>
        <w:t xml:space="preserve"> realizar co</w:t>
      </w:r>
      <w:r w:rsidR="00684216" w:rsidRPr="002D5AD5">
        <w:rPr>
          <w:rFonts w:asciiTheme="majorHAnsi" w:hAnsiTheme="majorHAnsi"/>
          <w:sz w:val="26"/>
          <w:szCs w:val="26"/>
        </w:rPr>
        <w:t>mparações e análises e, também,</w:t>
      </w:r>
      <w:r w:rsidR="00B97AA7" w:rsidRPr="002D5AD5">
        <w:rPr>
          <w:rFonts w:asciiTheme="majorHAnsi" w:hAnsiTheme="majorHAnsi"/>
          <w:sz w:val="26"/>
          <w:szCs w:val="26"/>
        </w:rPr>
        <w:t xml:space="preserve"> </w:t>
      </w:r>
      <w:r w:rsidR="0083657E" w:rsidRPr="002D5AD5">
        <w:rPr>
          <w:rFonts w:asciiTheme="majorHAnsi" w:hAnsiTheme="majorHAnsi"/>
          <w:sz w:val="26"/>
          <w:szCs w:val="26"/>
        </w:rPr>
        <w:t xml:space="preserve">a </w:t>
      </w:r>
      <w:r w:rsidR="00B97AA7" w:rsidRPr="002D5AD5">
        <w:rPr>
          <w:rFonts w:asciiTheme="majorHAnsi" w:hAnsiTheme="majorHAnsi"/>
          <w:sz w:val="26"/>
          <w:szCs w:val="26"/>
        </w:rPr>
        <w:t>clareza na evi</w:t>
      </w:r>
      <w:r w:rsidR="00684216" w:rsidRPr="002D5AD5">
        <w:rPr>
          <w:rFonts w:asciiTheme="majorHAnsi" w:hAnsiTheme="majorHAnsi"/>
          <w:sz w:val="26"/>
          <w:szCs w:val="26"/>
        </w:rPr>
        <w:t>denciação do seu conteúdo e, por fim,</w:t>
      </w:r>
      <w:r w:rsidR="00B97AA7" w:rsidRPr="002D5AD5">
        <w:rPr>
          <w:rFonts w:asciiTheme="majorHAnsi" w:hAnsiTheme="majorHAnsi"/>
          <w:sz w:val="26"/>
          <w:szCs w:val="26"/>
        </w:rPr>
        <w:t xml:space="preserve"> </w:t>
      </w:r>
      <w:r w:rsidR="0083657E" w:rsidRPr="002D5AD5">
        <w:rPr>
          <w:rFonts w:asciiTheme="majorHAnsi" w:hAnsiTheme="majorHAnsi"/>
          <w:sz w:val="26"/>
          <w:szCs w:val="26"/>
        </w:rPr>
        <w:t xml:space="preserve">a </w:t>
      </w:r>
      <w:r w:rsidR="00B97AA7" w:rsidRPr="002D5AD5">
        <w:rPr>
          <w:rFonts w:asciiTheme="majorHAnsi" w:hAnsiTheme="majorHAnsi"/>
          <w:sz w:val="26"/>
          <w:szCs w:val="26"/>
        </w:rPr>
        <w:t>especificação na classificação e na designaçã</w:t>
      </w:r>
      <w:r w:rsidR="00684216" w:rsidRPr="002D5AD5">
        <w:rPr>
          <w:rFonts w:asciiTheme="majorHAnsi" w:hAnsiTheme="majorHAnsi"/>
          <w:sz w:val="26"/>
          <w:szCs w:val="26"/>
        </w:rPr>
        <w:t>o das suas informações, com</w:t>
      </w:r>
      <w:r w:rsidR="00B97AA7" w:rsidRPr="002D5AD5">
        <w:rPr>
          <w:rFonts w:asciiTheme="majorHAnsi" w:hAnsiTheme="majorHAnsi"/>
          <w:sz w:val="26"/>
          <w:szCs w:val="26"/>
        </w:rPr>
        <w:t xml:space="preserve"> a</w:t>
      </w:r>
      <w:r w:rsidR="00684216" w:rsidRPr="002D5AD5">
        <w:rPr>
          <w:rFonts w:asciiTheme="majorHAnsi" w:hAnsiTheme="majorHAnsi"/>
          <w:sz w:val="26"/>
          <w:szCs w:val="26"/>
        </w:rPr>
        <w:t xml:space="preserve"> devida</w:t>
      </w:r>
      <w:r w:rsidR="00B97AA7" w:rsidRPr="002D5AD5">
        <w:rPr>
          <w:rFonts w:asciiTheme="majorHAnsi" w:hAnsiTheme="majorHAnsi"/>
          <w:sz w:val="26"/>
          <w:szCs w:val="26"/>
        </w:rPr>
        <w:t xml:space="preserve"> identificação de todas as rubricas de receitas e despesas, apresentando-as de maneira analítica e detalhada.</w:t>
      </w:r>
    </w:p>
    <w:p w:rsidR="00FD1093" w:rsidRPr="002D5AD5" w:rsidRDefault="00FD1093" w:rsidP="004B2FCA">
      <w:pPr>
        <w:jc w:val="both"/>
        <w:rPr>
          <w:rFonts w:asciiTheme="majorHAnsi" w:hAnsiTheme="majorHAnsi"/>
          <w:sz w:val="26"/>
          <w:szCs w:val="26"/>
        </w:rPr>
      </w:pPr>
    </w:p>
    <w:p w:rsidR="00B97AA7" w:rsidRPr="002D5AD5" w:rsidRDefault="00FD1093" w:rsidP="004B2FCA">
      <w:pPr>
        <w:jc w:val="both"/>
        <w:rPr>
          <w:rFonts w:asciiTheme="majorHAnsi" w:hAnsiTheme="majorHAnsi"/>
          <w:sz w:val="26"/>
          <w:szCs w:val="26"/>
        </w:rPr>
      </w:pPr>
      <w:r w:rsidRPr="002D5AD5">
        <w:rPr>
          <w:rFonts w:asciiTheme="majorHAnsi" w:hAnsiTheme="majorHAnsi"/>
          <w:sz w:val="26"/>
          <w:szCs w:val="26"/>
        </w:rPr>
        <w:t>Já o segundo, obriga não somente a ampla divulgação do orçamento, mas principalmente que as previsões orçamentárias, tanto de receitas, despesas, renúncias ou programas, sejam dispostas de maneira facilmente compreensível para todos, não apenas para o seu executor, como também para o cidadão interessado e, inclusive, para os órgãos de controle e fiscalização.</w:t>
      </w:r>
    </w:p>
    <w:p w:rsidR="00B97AA7" w:rsidRPr="002D5AD5" w:rsidRDefault="00B97AA7" w:rsidP="004B2FCA">
      <w:pPr>
        <w:jc w:val="both"/>
        <w:rPr>
          <w:rFonts w:asciiTheme="majorHAnsi" w:hAnsiTheme="majorHAnsi"/>
          <w:sz w:val="26"/>
          <w:szCs w:val="26"/>
        </w:rPr>
      </w:pPr>
    </w:p>
    <w:p w:rsidR="00FD1093" w:rsidRPr="002D5AD5" w:rsidRDefault="00684216" w:rsidP="004B2FCA">
      <w:pPr>
        <w:jc w:val="both"/>
        <w:rPr>
          <w:rFonts w:asciiTheme="majorHAnsi" w:hAnsiTheme="majorHAnsi"/>
          <w:b/>
          <w:sz w:val="26"/>
          <w:szCs w:val="26"/>
        </w:rPr>
      </w:pPr>
      <w:r w:rsidRPr="002D5AD5">
        <w:rPr>
          <w:rFonts w:asciiTheme="majorHAnsi" w:hAnsiTheme="majorHAnsi"/>
          <w:sz w:val="26"/>
          <w:szCs w:val="26"/>
        </w:rPr>
        <w:lastRenderedPageBreak/>
        <w:t>A Lei</w:t>
      </w:r>
      <w:r w:rsidR="00471C12" w:rsidRPr="002D5AD5">
        <w:rPr>
          <w:rFonts w:asciiTheme="majorHAnsi" w:hAnsiTheme="majorHAnsi"/>
          <w:sz w:val="26"/>
          <w:szCs w:val="26"/>
        </w:rPr>
        <w:t xml:space="preserve"> Orçamentária Anual (LO</w:t>
      </w:r>
      <w:r w:rsidR="000E4B52" w:rsidRPr="002D5AD5">
        <w:rPr>
          <w:rFonts w:asciiTheme="majorHAnsi" w:hAnsiTheme="majorHAnsi"/>
          <w:sz w:val="26"/>
          <w:szCs w:val="26"/>
        </w:rPr>
        <w:t>A</w:t>
      </w:r>
      <w:r w:rsidR="00E10DC3" w:rsidRPr="002D5AD5">
        <w:rPr>
          <w:rFonts w:asciiTheme="majorHAnsi" w:hAnsiTheme="majorHAnsi"/>
          <w:sz w:val="26"/>
          <w:szCs w:val="26"/>
        </w:rPr>
        <w:t>)</w:t>
      </w:r>
      <w:r w:rsidRPr="002D5AD5">
        <w:rPr>
          <w:rFonts w:asciiTheme="majorHAnsi" w:hAnsiTheme="majorHAnsi"/>
          <w:sz w:val="26"/>
          <w:szCs w:val="26"/>
        </w:rPr>
        <w:t xml:space="preserve"> atentou para o</w:t>
      </w:r>
      <w:r w:rsidR="00FD1093" w:rsidRPr="002D5AD5">
        <w:rPr>
          <w:rFonts w:asciiTheme="majorHAnsi" w:hAnsiTheme="majorHAnsi"/>
          <w:sz w:val="26"/>
          <w:szCs w:val="26"/>
        </w:rPr>
        <w:t>s</w:t>
      </w:r>
      <w:r w:rsidRPr="002D5AD5">
        <w:rPr>
          <w:rFonts w:asciiTheme="majorHAnsi" w:hAnsiTheme="majorHAnsi"/>
          <w:sz w:val="26"/>
          <w:szCs w:val="26"/>
        </w:rPr>
        <w:t xml:space="preserve"> referido</w:t>
      </w:r>
      <w:r w:rsidR="00FD1093" w:rsidRPr="002D5AD5">
        <w:rPr>
          <w:rFonts w:asciiTheme="majorHAnsi" w:hAnsiTheme="majorHAnsi"/>
          <w:sz w:val="26"/>
          <w:szCs w:val="26"/>
        </w:rPr>
        <w:t>s</w:t>
      </w:r>
      <w:r w:rsidRPr="002D5AD5">
        <w:rPr>
          <w:rFonts w:asciiTheme="majorHAnsi" w:hAnsiTheme="majorHAnsi"/>
          <w:sz w:val="26"/>
          <w:szCs w:val="26"/>
        </w:rPr>
        <w:t xml:space="preserve"> princípio</w:t>
      </w:r>
      <w:r w:rsidR="00FD1093" w:rsidRPr="002D5AD5">
        <w:rPr>
          <w:rFonts w:asciiTheme="majorHAnsi" w:hAnsiTheme="majorHAnsi"/>
          <w:sz w:val="26"/>
          <w:szCs w:val="26"/>
        </w:rPr>
        <w:t>s</w:t>
      </w:r>
      <w:r w:rsidR="000E4B52" w:rsidRPr="002D5AD5">
        <w:rPr>
          <w:rFonts w:asciiTheme="majorHAnsi" w:hAnsiTheme="majorHAnsi"/>
          <w:sz w:val="26"/>
          <w:szCs w:val="26"/>
        </w:rPr>
        <w:t xml:space="preserve"> em suas etapas.</w:t>
      </w:r>
    </w:p>
    <w:p w:rsidR="004B2FCA" w:rsidRPr="002D5AD5" w:rsidRDefault="004B2FCA" w:rsidP="004B2FCA">
      <w:pPr>
        <w:jc w:val="both"/>
        <w:rPr>
          <w:rFonts w:asciiTheme="majorHAnsi" w:hAnsiTheme="majorHAnsi"/>
          <w:sz w:val="26"/>
          <w:szCs w:val="26"/>
        </w:rPr>
      </w:pPr>
    </w:p>
    <w:p w:rsidR="004B2FCA" w:rsidRPr="002D5AD5" w:rsidRDefault="004B2FCA" w:rsidP="004B2FCA">
      <w:pPr>
        <w:jc w:val="both"/>
        <w:rPr>
          <w:rFonts w:asciiTheme="majorHAnsi" w:hAnsiTheme="majorHAnsi"/>
          <w:sz w:val="26"/>
          <w:szCs w:val="26"/>
        </w:rPr>
      </w:pPr>
      <w:r w:rsidRPr="002D5AD5">
        <w:rPr>
          <w:rFonts w:asciiTheme="majorHAnsi" w:hAnsiTheme="majorHAnsi"/>
          <w:sz w:val="26"/>
          <w:szCs w:val="26"/>
        </w:rPr>
        <w:t>Concluo</w:t>
      </w:r>
      <w:r w:rsidR="008E065A" w:rsidRPr="002D5AD5">
        <w:rPr>
          <w:rFonts w:asciiTheme="majorHAnsi" w:hAnsiTheme="majorHAnsi"/>
          <w:sz w:val="26"/>
          <w:szCs w:val="26"/>
        </w:rPr>
        <w:t>,</w:t>
      </w:r>
      <w:r w:rsidRPr="002D5AD5">
        <w:rPr>
          <w:rFonts w:asciiTheme="majorHAnsi" w:hAnsiTheme="majorHAnsi"/>
          <w:sz w:val="26"/>
          <w:szCs w:val="26"/>
        </w:rPr>
        <w:t xml:space="preserve"> pela leitura e análise da proposição em estudo, que ela preenche os requisitos necessários para sua tramitação.</w:t>
      </w:r>
    </w:p>
    <w:p w:rsidR="004B2FCA" w:rsidRPr="002D5AD5" w:rsidRDefault="004B2FCA" w:rsidP="004B2FCA">
      <w:pPr>
        <w:jc w:val="both"/>
        <w:rPr>
          <w:rFonts w:asciiTheme="majorHAnsi" w:hAnsiTheme="majorHAnsi"/>
          <w:sz w:val="26"/>
          <w:szCs w:val="26"/>
        </w:rPr>
      </w:pPr>
    </w:p>
    <w:p w:rsidR="004B2FCA" w:rsidRPr="002D5AD5" w:rsidRDefault="004B2FCA" w:rsidP="004B2FCA">
      <w:pPr>
        <w:jc w:val="both"/>
        <w:rPr>
          <w:rFonts w:asciiTheme="majorHAnsi" w:hAnsiTheme="majorHAnsi"/>
          <w:sz w:val="26"/>
          <w:szCs w:val="26"/>
        </w:rPr>
      </w:pPr>
      <w:r w:rsidRPr="002D5AD5">
        <w:rPr>
          <w:rFonts w:asciiTheme="majorHAnsi" w:hAnsiTheme="majorHAnsi"/>
          <w:sz w:val="26"/>
          <w:szCs w:val="26"/>
        </w:rPr>
        <w:t>Opino pelo prosseguimento e consequente debate e votação em plenário desta Casa</w:t>
      </w:r>
      <w:r w:rsidR="000E4B52" w:rsidRPr="002D5AD5">
        <w:rPr>
          <w:rFonts w:asciiTheme="majorHAnsi" w:hAnsiTheme="majorHAnsi"/>
          <w:sz w:val="26"/>
          <w:szCs w:val="26"/>
        </w:rPr>
        <w:t>.</w:t>
      </w:r>
    </w:p>
    <w:p w:rsidR="006E7569" w:rsidRPr="002D5AD5" w:rsidRDefault="006E7569" w:rsidP="006E7569">
      <w:pPr>
        <w:jc w:val="both"/>
        <w:rPr>
          <w:rFonts w:asciiTheme="majorHAnsi" w:hAnsiTheme="majorHAnsi"/>
        </w:rPr>
      </w:pPr>
    </w:p>
    <w:p w:rsidR="00D12B90" w:rsidRPr="002D5AD5" w:rsidRDefault="00941A56">
      <w:pPr>
        <w:rPr>
          <w:rFonts w:asciiTheme="majorHAnsi" w:hAnsiTheme="majorHAnsi"/>
          <w:sz w:val="26"/>
          <w:szCs w:val="26"/>
        </w:rPr>
      </w:pPr>
      <w:r w:rsidRPr="002D5AD5">
        <w:rPr>
          <w:rFonts w:asciiTheme="majorHAnsi" w:hAnsiTheme="majorHAnsi"/>
          <w:sz w:val="26"/>
          <w:szCs w:val="26"/>
        </w:rPr>
        <w:t xml:space="preserve">                                 Sala das</w:t>
      </w:r>
      <w:r w:rsidR="000E4B52" w:rsidRPr="002D5AD5">
        <w:rPr>
          <w:rFonts w:asciiTheme="majorHAnsi" w:hAnsiTheme="majorHAnsi"/>
          <w:sz w:val="26"/>
          <w:szCs w:val="26"/>
        </w:rPr>
        <w:t xml:space="preserve"> Comissões, 27 de outubro</w:t>
      </w:r>
      <w:r w:rsidR="0050331C" w:rsidRPr="002D5AD5">
        <w:rPr>
          <w:rFonts w:asciiTheme="majorHAnsi" w:hAnsiTheme="majorHAnsi"/>
          <w:sz w:val="26"/>
          <w:szCs w:val="26"/>
        </w:rPr>
        <w:t xml:space="preserve"> de 2021</w:t>
      </w:r>
    </w:p>
    <w:p w:rsidR="000E4B52" w:rsidRPr="002D5AD5" w:rsidRDefault="000E4B52" w:rsidP="000E4B52">
      <w:pPr>
        <w:rPr>
          <w:rFonts w:asciiTheme="majorHAnsi" w:hAnsiTheme="majorHAnsi" w:cstheme="majorHAnsi"/>
          <w:sz w:val="24"/>
          <w:szCs w:val="24"/>
        </w:rPr>
      </w:pPr>
    </w:p>
    <w:p w:rsidR="000E4B52" w:rsidRPr="002D5AD5" w:rsidRDefault="000E4B52" w:rsidP="000E4B52">
      <w:pPr>
        <w:rPr>
          <w:rFonts w:asciiTheme="majorHAnsi" w:hAnsiTheme="majorHAnsi" w:cstheme="majorHAnsi"/>
          <w:sz w:val="24"/>
          <w:szCs w:val="24"/>
        </w:rPr>
      </w:pPr>
    </w:p>
    <w:p w:rsidR="000E4B52" w:rsidRPr="002D5AD5" w:rsidRDefault="000E4B52" w:rsidP="000E4B52">
      <w:pPr>
        <w:jc w:val="center"/>
        <w:rPr>
          <w:rFonts w:asciiTheme="majorHAnsi" w:hAnsiTheme="majorHAnsi" w:cstheme="majorHAnsi"/>
          <w:noProof/>
          <w:sz w:val="24"/>
          <w:szCs w:val="24"/>
          <w:lang w:eastAsia="pt-BR"/>
        </w:rPr>
      </w:pPr>
      <w:r w:rsidRPr="002D5AD5">
        <w:rPr>
          <w:rFonts w:asciiTheme="majorHAnsi" w:hAnsiTheme="majorHAnsi" w:cstheme="majorHAnsi"/>
          <w:noProof/>
          <w:sz w:val="24"/>
          <w:szCs w:val="24"/>
          <w:lang w:eastAsia="pt-BR"/>
        </w:rPr>
        <w:t>_______________________________</w:t>
      </w:r>
    </w:p>
    <w:p w:rsidR="000E4B52" w:rsidRPr="002D5AD5" w:rsidRDefault="000E4B52" w:rsidP="000E4B52">
      <w:pPr>
        <w:jc w:val="center"/>
        <w:rPr>
          <w:rFonts w:asciiTheme="majorHAnsi" w:hAnsiTheme="majorHAnsi" w:cstheme="majorHAnsi"/>
          <w:noProof/>
          <w:sz w:val="24"/>
          <w:szCs w:val="24"/>
          <w:lang w:eastAsia="pt-BR"/>
        </w:rPr>
      </w:pPr>
      <w:r w:rsidRPr="002D5AD5">
        <w:rPr>
          <w:rFonts w:asciiTheme="majorHAnsi" w:hAnsiTheme="majorHAnsi" w:cstheme="majorHAnsi"/>
          <w:noProof/>
          <w:sz w:val="24"/>
          <w:szCs w:val="24"/>
          <w:lang w:eastAsia="pt-BR"/>
        </w:rPr>
        <w:t>Tico Jardim</w:t>
      </w:r>
    </w:p>
    <w:p w:rsidR="0050331C" w:rsidRDefault="000E4B52" w:rsidP="00E36297">
      <w:pPr>
        <w:jc w:val="center"/>
        <w:rPr>
          <w:rFonts w:asciiTheme="majorHAnsi" w:hAnsiTheme="majorHAnsi" w:cstheme="majorHAnsi"/>
          <w:noProof/>
          <w:sz w:val="24"/>
          <w:szCs w:val="24"/>
          <w:lang w:eastAsia="pt-BR"/>
        </w:rPr>
      </w:pPr>
      <w:r w:rsidRPr="002D5AD5">
        <w:rPr>
          <w:rFonts w:asciiTheme="majorHAnsi" w:hAnsiTheme="majorHAnsi" w:cstheme="majorHAnsi"/>
          <w:noProof/>
          <w:sz w:val="24"/>
          <w:szCs w:val="24"/>
          <w:lang w:eastAsia="pt-BR"/>
        </w:rPr>
        <w:t>Relator</w:t>
      </w:r>
    </w:p>
    <w:p w:rsidR="00775918" w:rsidRPr="002D5AD5" w:rsidRDefault="00775918" w:rsidP="00E36297">
      <w:pPr>
        <w:jc w:val="center"/>
        <w:rPr>
          <w:rFonts w:asciiTheme="majorHAnsi" w:hAnsiTheme="majorHAnsi" w:cstheme="majorHAnsi"/>
          <w:noProof/>
          <w:sz w:val="24"/>
          <w:szCs w:val="24"/>
          <w:lang w:eastAsia="pt-BR"/>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1273"/>
        <w:gridCol w:w="3346"/>
        <w:gridCol w:w="2084"/>
      </w:tblGrid>
      <w:tr w:rsidR="0050331C" w:rsidRPr="002D5AD5" w:rsidTr="009034B2">
        <w:trPr>
          <w:trHeight w:val="624"/>
        </w:trPr>
        <w:tc>
          <w:tcPr>
            <w:tcW w:w="1809" w:type="dxa"/>
            <w:shd w:val="clear" w:color="auto" w:fill="auto"/>
            <w:vAlign w:val="center"/>
          </w:tcPr>
          <w:p w:rsidR="0050331C" w:rsidRPr="002D5AD5" w:rsidRDefault="0050331C" w:rsidP="009034B2">
            <w:pPr>
              <w:jc w:val="center"/>
              <w:rPr>
                <w:rFonts w:asciiTheme="majorHAnsi" w:hAnsiTheme="majorHAnsi" w:cs="Calibri Light"/>
              </w:rPr>
            </w:pPr>
            <w:r w:rsidRPr="002D5AD5">
              <w:rPr>
                <w:rFonts w:asciiTheme="majorHAnsi" w:hAnsiTheme="majorHAnsi" w:cs="Calibri Light"/>
              </w:rPr>
              <w:t>Vereador</w:t>
            </w:r>
          </w:p>
        </w:tc>
        <w:tc>
          <w:tcPr>
            <w:tcW w:w="1276" w:type="dxa"/>
            <w:shd w:val="clear" w:color="auto" w:fill="auto"/>
            <w:vAlign w:val="center"/>
          </w:tcPr>
          <w:p w:rsidR="0050331C" w:rsidRPr="002D5AD5" w:rsidRDefault="0050331C" w:rsidP="009034B2">
            <w:pPr>
              <w:jc w:val="center"/>
              <w:rPr>
                <w:rFonts w:asciiTheme="majorHAnsi" w:hAnsiTheme="majorHAnsi" w:cs="Calibri Light"/>
              </w:rPr>
            </w:pPr>
            <w:r w:rsidRPr="002D5AD5">
              <w:rPr>
                <w:rFonts w:asciiTheme="majorHAnsi" w:hAnsiTheme="majorHAnsi" w:cs="Calibri Light"/>
              </w:rPr>
              <w:t>Membros</w:t>
            </w:r>
          </w:p>
        </w:tc>
        <w:tc>
          <w:tcPr>
            <w:tcW w:w="3402" w:type="dxa"/>
            <w:shd w:val="clear" w:color="auto" w:fill="auto"/>
            <w:vAlign w:val="center"/>
          </w:tcPr>
          <w:p w:rsidR="0050331C" w:rsidRPr="002D5AD5" w:rsidRDefault="0050331C" w:rsidP="009034B2">
            <w:pPr>
              <w:jc w:val="center"/>
              <w:rPr>
                <w:rFonts w:asciiTheme="majorHAnsi" w:hAnsiTheme="majorHAnsi" w:cs="Calibri Light"/>
              </w:rPr>
            </w:pPr>
            <w:r w:rsidRPr="002D5AD5">
              <w:rPr>
                <w:rFonts w:asciiTheme="majorHAnsi" w:hAnsiTheme="majorHAnsi" w:cs="Calibri Light"/>
              </w:rPr>
              <w:t>Voto do Parecer</w:t>
            </w:r>
          </w:p>
        </w:tc>
        <w:tc>
          <w:tcPr>
            <w:tcW w:w="2107" w:type="dxa"/>
            <w:shd w:val="clear" w:color="auto" w:fill="auto"/>
            <w:vAlign w:val="center"/>
          </w:tcPr>
          <w:p w:rsidR="0050331C" w:rsidRPr="002D5AD5" w:rsidRDefault="0050331C" w:rsidP="009034B2">
            <w:pPr>
              <w:jc w:val="center"/>
              <w:rPr>
                <w:rFonts w:asciiTheme="majorHAnsi" w:hAnsiTheme="majorHAnsi" w:cs="Calibri Light"/>
              </w:rPr>
            </w:pPr>
            <w:r w:rsidRPr="002D5AD5">
              <w:rPr>
                <w:rFonts w:asciiTheme="majorHAnsi" w:hAnsiTheme="majorHAnsi" w:cs="Calibri Light"/>
              </w:rPr>
              <w:t>Assinatura</w:t>
            </w:r>
          </w:p>
        </w:tc>
      </w:tr>
      <w:tr w:rsidR="0050331C" w:rsidRPr="002D5AD5" w:rsidTr="009034B2">
        <w:trPr>
          <w:trHeight w:val="624"/>
        </w:trPr>
        <w:tc>
          <w:tcPr>
            <w:tcW w:w="1809" w:type="dxa"/>
            <w:shd w:val="clear" w:color="auto" w:fill="auto"/>
            <w:vAlign w:val="center"/>
          </w:tcPr>
          <w:p w:rsidR="0050331C" w:rsidRPr="002D5AD5" w:rsidRDefault="0050331C" w:rsidP="009034B2">
            <w:pPr>
              <w:jc w:val="center"/>
              <w:rPr>
                <w:rFonts w:asciiTheme="majorHAnsi" w:hAnsiTheme="majorHAnsi" w:cs="Calibri Light"/>
              </w:rPr>
            </w:pPr>
            <w:r w:rsidRPr="002D5AD5">
              <w:rPr>
                <w:rFonts w:asciiTheme="majorHAnsi" w:hAnsiTheme="majorHAnsi" w:cs="Calibri Light"/>
              </w:rPr>
              <w:t>Paulo Paes</w:t>
            </w:r>
          </w:p>
        </w:tc>
        <w:tc>
          <w:tcPr>
            <w:tcW w:w="1276" w:type="dxa"/>
            <w:shd w:val="clear" w:color="auto" w:fill="auto"/>
            <w:vAlign w:val="center"/>
          </w:tcPr>
          <w:p w:rsidR="0050331C" w:rsidRPr="002D5AD5" w:rsidRDefault="0050331C" w:rsidP="009034B2">
            <w:pPr>
              <w:jc w:val="center"/>
              <w:rPr>
                <w:rFonts w:asciiTheme="majorHAnsi" w:hAnsiTheme="majorHAnsi" w:cs="Calibri Light"/>
              </w:rPr>
            </w:pPr>
            <w:r w:rsidRPr="002D5AD5">
              <w:rPr>
                <w:rFonts w:asciiTheme="majorHAnsi" w:hAnsiTheme="majorHAnsi" w:cs="Calibri Light"/>
              </w:rPr>
              <w:t>Presidente</w:t>
            </w:r>
          </w:p>
        </w:tc>
        <w:tc>
          <w:tcPr>
            <w:tcW w:w="3402" w:type="dxa"/>
            <w:shd w:val="clear" w:color="auto" w:fill="auto"/>
            <w:vAlign w:val="center"/>
          </w:tcPr>
          <w:p w:rsidR="0050331C" w:rsidRPr="002D5AD5" w:rsidRDefault="0050331C" w:rsidP="009034B2">
            <w:pPr>
              <w:jc w:val="center"/>
              <w:rPr>
                <w:rFonts w:asciiTheme="majorHAnsi" w:hAnsiTheme="majorHAnsi" w:cs="Calibri Light"/>
              </w:rPr>
            </w:pPr>
            <w:proofErr w:type="gramStart"/>
            <w:r w:rsidRPr="002D5AD5">
              <w:rPr>
                <w:rFonts w:asciiTheme="majorHAnsi" w:hAnsiTheme="majorHAnsi" w:cs="Calibri Light"/>
              </w:rPr>
              <w:t xml:space="preserve">(  </w:t>
            </w:r>
            <w:proofErr w:type="gramEnd"/>
            <w:r w:rsidRPr="002D5AD5">
              <w:rPr>
                <w:rFonts w:asciiTheme="majorHAnsi" w:hAnsiTheme="majorHAnsi" w:cs="Calibri Light"/>
              </w:rPr>
              <w:t xml:space="preserve">    ) de acordo (      ) contrário</w:t>
            </w:r>
          </w:p>
        </w:tc>
        <w:tc>
          <w:tcPr>
            <w:tcW w:w="2107" w:type="dxa"/>
            <w:shd w:val="clear" w:color="auto" w:fill="auto"/>
            <w:vAlign w:val="center"/>
          </w:tcPr>
          <w:p w:rsidR="0050331C" w:rsidRPr="002D5AD5" w:rsidRDefault="0050331C" w:rsidP="009034B2">
            <w:pPr>
              <w:jc w:val="center"/>
              <w:rPr>
                <w:rFonts w:asciiTheme="majorHAnsi" w:hAnsiTheme="majorHAnsi" w:cs="Calibri Light"/>
              </w:rPr>
            </w:pPr>
          </w:p>
        </w:tc>
      </w:tr>
      <w:tr w:rsidR="0050331C" w:rsidRPr="002D5AD5" w:rsidTr="009034B2">
        <w:trPr>
          <w:trHeight w:val="624"/>
        </w:trPr>
        <w:tc>
          <w:tcPr>
            <w:tcW w:w="1809" w:type="dxa"/>
            <w:shd w:val="clear" w:color="auto" w:fill="auto"/>
            <w:vAlign w:val="center"/>
          </w:tcPr>
          <w:p w:rsidR="0050331C" w:rsidRPr="002D5AD5" w:rsidRDefault="0050331C" w:rsidP="009034B2">
            <w:pPr>
              <w:jc w:val="center"/>
              <w:rPr>
                <w:rFonts w:asciiTheme="majorHAnsi" w:hAnsiTheme="majorHAnsi" w:cs="Calibri Light"/>
              </w:rPr>
            </w:pPr>
            <w:r w:rsidRPr="002D5AD5">
              <w:rPr>
                <w:rFonts w:asciiTheme="majorHAnsi" w:hAnsiTheme="majorHAnsi" w:cs="Calibri Light"/>
              </w:rPr>
              <w:t>Guto Garcia</w:t>
            </w:r>
          </w:p>
        </w:tc>
        <w:tc>
          <w:tcPr>
            <w:tcW w:w="1276" w:type="dxa"/>
            <w:shd w:val="clear" w:color="auto" w:fill="auto"/>
            <w:vAlign w:val="center"/>
          </w:tcPr>
          <w:p w:rsidR="0050331C" w:rsidRPr="002D5AD5" w:rsidRDefault="0050331C" w:rsidP="009034B2">
            <w:pPr>
              <w:jc w:val="center"/>
              <w:rPr>
                <w:rFonts w:asciiTheme="majorHAnsi" w:hAnsiTheme="majorHAnsi" w:cs="Calibri Light"/>
              </w:rPr>
            </w:pPr>
            <w:r w:rsidRPr="002D5AD5">
              <w:rPr>
                <w:rFonts w:asciiTheme="majorHAnsi" w:hAnsiTheme="majorHAnsi" w:cs="Calibri Light"/>
              </w:rPr>
              <w:t>Titular</w:t>
            </w:r>
          </w:p>
        </w:tc>
        <w:tc>
          <w:tcPr>
            <w:tcW w:w="3402" w:type="dxa"/>
            <w:shd w:val="clear" w:color="auto" w:fill="auto"/>
            <w:vAlign w:val="center"/>
          </w:tcPr>
          <w:p w:rsidR="0050331C" w:rsidRPr="002D5AD5" w:rsidRDefault="0050331C" w:rsidP="009034B2">
            <w:pPr>
              <w:jc w:val="center"/>
              <w:rPr>
                <w:rFonts w:asciiTheme="majorHAnsi" w:hAnsiTheme="majorHAnsi" w:cs="Calibri Light"/>
              </w:rPr>
            </w:pPr>
            <w:proofErr w:type="gramStart"/>
            <w:r w:rsidRPr="002D5AD5">
              <w:rPr>
                <w:rFonts w:asciiTheme="majorHAnsi" w:hAnsiTheme="majorHAnsi" w:cs="Calibri Light"/>
              </w:rPr>
              <w:t xml:space="preserve">(  </w:t>
            </w:r>
            <w:proofErr w:type="gramEnd"/>
            <w:r w:rsidRPr="002D5AD5">
              <w:rPr>
                <w:rFonts w:asciiTheme="majorHAnsi" w:hAnsiTheme="majorHAnsi" w:cs="Calibri Light"/>
              </w:rPr>
              <w:t xml:space="preserve">    ) de acordo (      ) contrário</w:t>
            </w:r>
          </w:p>
        </w:tc>
        <w:tc>
          <w:tcPr>
            <w:tcW w:w="2107" w:type="dxa"/>
            <w:shd w:val="clear" w:color="auto" w:fill="auto"/>
            <w:vAlign w:val="center"/>
          </w:tcPr>
          <w:p w:rsidR="0050331C" w:rsidRPr="002D5AD5" w:rsidRDefault="0050331C" w:rsidP="009034B2">
            <w:pPr>
              <w:jc w:val="center"/>
              <w:rPr>
                <w:rFonts w:asciiTheme="majorHAnsi" w:hAnsiTheme="majorHAnsi" w:cs="Calibri Light"/>
              </w:rPr>
            </w:pPr>
          </w:p>
        </w:tc>
      </w:tr>
      <w:tr w:rsidR="0050331C" w:rsidRPr="002D5AD5" w:rsidTr="009034B2">
        <w:trPr>
          <w:trHeight w:val="624"/>
        </w:trPr>
        <w:tc>
          <w:tcPr>
            <w:tcW w:w="1809" w:type="dxa"/>
            <w:shd w:val="clear" w:color="auto" w:fill="auto"/>
            <w:vAlign w:val="center"/>
          </w:tcPr>
          <w:p w:rsidR="0050331C" w:rsidRPr="002D5AD5" w:rsidRDefault="0050331C" w:rsidP="009034B2">
            <w:pPr>
              <w:jc w:val="center"/>
              <w:rPr>
                <w:rFonts w:asciiTheme="majorHAnsi" w:hAnsiTheme="majorHAnsi" w:cs="Calibri Light"/>
              </w:rPr>
            </w:pPr>
            <w:r w:rsidRPr="002D5AD5">
              <w:rPr>
                <w:rFonts w:asciiTheme="majorHAnsi" w:hAnsiTheme="majorHAnsi" w:cs="Calibri Light"/>
              </w:rPr>
              <w:t>José Prestes</w:t>
            </w:r>
          </w:p>
        </w:tc>
        <w:tc>
          <w:tcPr>
            <w:tcW w:w="1276" w:type="dxa"/>
            <w:shd w:val="clear" w:color="auto" w:fill="auto"/>
            <w:vAlign w:val="center"/>
          </w:tcPr>
          <w:p w:rsidR="0050331C" w:rsidRPr="002D5AD5" w:rsidRDefault="0050331C" w:rsidP="009034B2">
            <w:pPr>
              <w:jc w:val="center"/>
              <w:rPr>
                <w:rFonts w:asciiTheme="majorHAnsi" w:hAnsiTheme="majorHAnsi" w:cs="Calibri Light"/>
              </w:rPr>
            </w:pPr>
            <w:r w:rsidRPr="002D5AD5">
              <w:rPr>
                <w:rFonts w:asciiTheme="majorHAnsi" w:hAnsiTheme="majorHAnsi" w:cs="Calibri Light"/>
              </w:rPr>
              <w:t>Suplente</w:t>
            </w:r>
          </w:p>
        </w:tc>
        <w:tc>
          <w:tcPr>
            <w:tcW w:w="3402" w:type="dxa"/>
            <w:shd w:val="clear" w:color="auto" w:fill="auto"/>
            <w:vAlign w:val="center"/>
          </w:tcPr>
          <w:p w:rsidR="0050331C" w:rsidRPr="002D5AD5" w:rsidRDefault="0050331C" w:rsidP="009034B2">
            <w:pPr>
              <w:jc w:val="center"/>
              <w:rPr>
                <w:rFonts w:asciiTheme="majorHAnsi" w:hAnsiTheme="majorHAnsi" w:cs="Calibri Light"/>
              </w:rPr>
            </w:pPr>
            <w:proofErr w:type="gramStart"/>
            <w:r w:rsidRPr="002D5AD5">
              <w:rPr>
                <w:rFonts w:asciiTheme="majorHAnsi" w:hAnsiTheme="majorHAnsi" w:cs="Calibri Light"/>
              </w:rPr>
              <w:t xml:space="preserve">(  </w:t>
            </w:r>
            <w:proofErr w:type="gramEnd"/>
            <w:r w:rsidRPr="002D5AD5">
              <w:rPr>
                <w:rFonts w:asciiTheme="majorHAnsi" w:hAnsiTheme="majorHAnsi" w:cs="Calibri Light"/>
              </w:rPr>
              <w:t xml:space="preserve">    ) de acordo (      ) contrário</w:t>
            </w:r>
          </w:p>
        </w:tc>
        <w:tc>
          <w:tcPr>
            <w:tcW w:w="2107" w:type="dxa"/>
            <w:shd w:val="clear" w:color="auto" w:fill="auto"/>
            <w:vAlign w:val="center"/>
          </w:tcPr>
          <w:p w:rsidR="0050331C" w:rsidRPr="002D5AD5" w:rsidRDefault="0050331C" w:rsidP="009034B2">
            <w:pPr>
              <w:jc w:val="center"/>
              <w:rPr>
                <w:rFonts w:asciiTheme="majorHAnsi" w:hAnsiTheme="majorHAnsi" w:cs="Calibri Light"/>
              </w:rPr>
            </w:pPr>
          </w:p>
        </w:tc>
      </w:tr>
    </w:tbl>
    <w:p w:rsidR="0050331C" w:rsidRPr="002D5AD5" w:rsidRDefault="0050331C" w:rsidP="00E36297">
      <w:pPr>
        <w:jc w:val="center"/>
        <w:rPr>
          <w:rFonts w:asciiTheme="majorHAnsi" w:hAnsiTheme="majorHAnsi" w:cs="Calibri Light"/>
        </w:rPr>
      </w:pPr>
      <w:r w:rsidRPr="002D5AD5">
        <w:rPr>
          <w:rFonts w:asciiTheme="majorHAnsi" w:hAnsiTheme="majorHAnsi" w:cs="Calibri Light"/>
        </w:rPr>
        <w:t xml:space="preserve">Parecer: </w:t>
      </w:r>
      <w:proofErr w:type="gramStart"/>
      <w:r w:rsidRPr="002D5AD5">
        <w:rPr>
          <w:rFonts w:asciiTheme="majorHAnsi" w:hAnsiTheme="majorHAnsi" w:cs="Calibri Light"/>
        </w:rPr>
        <w:t xml:space="preserve">(  </w:t>
      </w:r>
      <w:proofErr w:type="gramEnd"/>
      <w:r w:rsidRPr="002D5AD5">
        <w:rPr>
          <w:rFonts w:asciiTheme="majorHAnsi" w:hAnsiTheme="majorHAnsi" w:cs="Calibri Light"/>
        </w:rPr>
        <w:t xml:space="preserve">     ) Aprovado  (       ) Rejeitado   </w:t>
      </w:r>
    </w:p>
    <w:sectPr w:rsidR="0050331C" w:rsidRPr="002D5AD5">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3A7" w:rsidRDefault="00CF33A7" w:rsidP="0050331C">
      <w:pPr>
        <w:spacing w:after="0" w:line="240" w:lineRule="auto"/>
      </w:pPr>
      <w:r>
        <w:separator/>
      </w:r>
    </w:p>
  </w:endnote>
  <w:endnote w:type="continuationSeparator" w:id="0">
    <w:p w:rsidR="00CF33A7" w:rsidRDefault="00CF33A7" w:rsidP="00503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3A7" w:rsidRDefault="00CF33A7" w:rsidP="0050331C">
      <w:pPr>
        <w:spacing w:after="0" w:line="240" w:lineRule="auto"/>
      </w:pPr>
      <w:r>
        <w:separator/>
      </w:r>
    </w:p>
  </w:footnote>
  <w:footnote w:type="continuationSeparator" w:id="0">
    <w:p w:rsidR="00CF33A7" w:rsidRDefault="00CF33A7" w:rsidP="005033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31C" w:rsidRDefault="0050331C" w:rsidP="0050331C">
    <w:pPr>
      <w:pStyle w:val="Cabealho"/>
      <w:jc w:val="center"/>
      <w:rPr>
        <w:rFonts w:ascii="Verdana" w:hAnsi="Verdana"/>
        <w:b/>
      </w:rPr>
    </w:pPr>
    <w:r>
      <w:rPr>
        <w:noProof/>
        <w:lang w:eastAsia="pt-BR"/>
      </w:rPr>
      <w:drawing>
        <wp:inline distT="0" distB="0" distL="0" distR="0" wp14:anchorId="3037A644" wp14:editId="61F25DB6">
          <wp:extent cx="590550" cy="5429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pic:nvPicPr>
                <pic:blipFill>
                  <a:blip r:embed="rId1">
                    <a:extLst>
                      <a:ext uri="{28A0092B-C50C-407E-A947-70E740481C1C}">
                        <a14:useLocalDpi xmlns:a14="http://schemas.microsoft.com/office/drawing/2010/main" val="0"/>
                      </a:ext>
                    </a:extLst>
                  </a:blip>
                  <a:stretch>
                    <a:fillRect/>
                  </a:stretch>
                </pic:blipFill>
                <pic:spPr>
                  <a:xfrm>
                    <a:off x="0" y="0"/>
                    <a:ext cx="590550" cy="542925"/>
                  </a:xfrm>
                  <a:prstGeom prst="rect">
                    <a:avLst/>
                  </a:prstGeom>
                </pic:spPr>
              </pic:pic>
            </a:graphicData>
          </a:graphic>
        </wp:inline>
      </w:drawing>
    </w:r>
  </w:p>
  <w:p w:rsidR="0050331C" w:rsidRPr="00251DE1" w:rsidRDefault="0050331C" w:rsidP="0050331C">
    <w:pPr>
      <w:pStyle w:val="Cabealho"/>
      <w:jc w:val="center"/>
      <w:rPr>
        <w:rFonts w:ascii="Verdana" w:hAnsi="Verdana"/>
        <w:b/>
      </w:rPr>
    </w:pPr>
    <w:r w:rsidRPr="00251DE1">
      <w:rPr>
        <w:rFonts w:ascii="Verdana" w:hAnsi="Verdana"/>
        <w:b/>
      </w:rPr>
      <w:t>ESTADO DO RIO DE JANEIRO</w:t>
    </w:r>
  </w:p>
  <w:p w:rsidR="0050331C" w:rsidRPr="00251DE1" w:rsidRDefault="0050331C" w:rsidP="0050331C">
    <w:pPr>
      <w:pStyle w:val="Cabealho"/>
      <w:jc w:val="center"/>
      <w:rPr>
        <w:rFonts w:ascii="Verdana" w:hAnsi="Verdana"/>
        <w:b/>
      </w:rPr>
    </w:pPr>
    <w:r w:rsidRPr="00251DE1">
      <w:rPr>
        <w:rFonts w:ascii="Verdana" w:hAnsi="Verdana"/>
        <w:b/>
      </w:rPr>
      <w:t>CÂMARA MUNICIPAL DE MACAÉ</w:t>
    </w:r>
  </w:p>
  <w:p w:rsidR="0050331C" w:rsidRPr="00251DE1" w:rsidRDefault="0050331C" w:rsidP="0050331C">
    <w:pPr>
      <w:pStyle w:val="Cabealho"/>
      <w:jc w:val="center"/>
      <w:rPr>
        <w:rFonts w:ascii="Verdana" w:hAnsi="Verdana"/>
        <w:b/>
        <w:sz w:val="16"/>
        <w:szCs w:val="16"/>
      </w:rPr>
    </w:pPr>
    <w:r w:rsidRPr="00251DE1">
      <w:rPr>
        <w:rFonts w:ascii="Verdana" w:hAnsi="Verdana"/>
        <w:b/>
        <w:sz w:val="16"/>
        <w:szCs w:val="16"/>
      </w:rPr>
      <w:t>Macaé Capital do Petróleo</w:t>
    </w:r>
  </w:p>
  <w:p w:rsidR="0050331C" w:rsidRDefault="0050331C" w:rsidP="0050331C">
    <w:pPr>
      <w:pStyle w:val="Cabealho"/>
      <w:jc w:val="center"/>
    </w:pPr>
    <w:r w:rsidRPr="00251DE1">
      <w:rPr>
        <w:rFonts w:ascii="Verdana" w:hAnsi="Verdana"/>
        <w:b/>
        <w:sz w:val="16"/>
        <w:szCs w:val="16"/>
      </w:rPr>
      <w:t>Lei Estadual nº 6081 de 21.11.2011</w:t>
    </w:r>
  </w:p>
  <w:p w:rsidR="0050331C" w:rsidRDefault="0050331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B90"/>
    <w:rsid w:val="00021D46"/>
    <w:rsid w:val="00034FF1"/>
    <w:rsid w:val="00075C9F"/>
    <w:rsid w:val="000B43C9"/>
    <w:rsid w:val="000E4B52"/>
    <w:rsid w:val="0011127A"/>
    <w:rsid w:val="001359E1"/>
    <w:rsid w:val="002452DC"/>
    <w:rsid w:val="00247E32"/>
    <w:rsid w:val="002604D4"/>
    <w:rsid w:val="002C55D2"/>
    <w:rsid w:val="002D1B69"/>
    <w:rsid w:val="002D5AD5"/>
    <w:rsid w:val="00315458"/>
    <w:rsid w:val="00363C32"/>
    <w:rsid w:val="00383526"/>
    <w:rsid w:val="00471C12"/>
    <w:rsid w:val="00484291"/>
    <w:rsid w:val="004B2FCA"/>
    <w:rsid w:val="004E613A"/>
    <w:rsid w:val="0050331C"/>
    <w:rsid w:val="005E7F91"/>
    <w:rsid w:val="005F65F3"/>
    <w:rsid w:val="00637102"/>
    <w:rsid w:val="006609A1"/>
    <w:rsid w:val="00684216"/>
    <w:rsid w:val="006B1E0C"/>
    <w:rsid w:val="006E7569"/>
    <w:rsid w:val="00775918"/>
    <w:rsid w:val="007F54FD"/>
    <w:rsid w:val="00806825"/>
    <w:rsid w:val="008078A9"/>
    <w:rsid w:val="00813942"/>
    <w:rsid w:val="0083657E"/>
    <w:rsid w:val="0087061D"/>
    <w:rsid w:val="008A7D8F"/>
    <w:rsid w:val="008D4C0C"/>
    <w:rsid w:val="008E065A"/>
    <w:rsid w:val="00915D76"/>
    <w:rsid w:val="00941A56"/>
    <w:rsid w:val="00953695"/>
    <w:rsid w:val="009A1EF0"/>
    <w:rsid w:val="009E2CF8"/>
    <w:rsid w:val="00A055DB"/>
    <w:rsid w:val="00A1535E"/>
    <w:rsid w:val="00A90904"/>
    <w:rsid w:val="00B01CF4"/>
    <w:rsid w:val="00B70CFE"/>
    <w:rsid w:val="00B97AA7"/>
    <w:rsid w:val="00C14C63"/>
    <w:rsid w:val="00C24DD2"/>
    <w:rsid w:val="00C93F50"/>
    <w:rsid w:val="00CB480F"/>
    <w:rsid w:val="00CF33A7"/>
    <w:rsid w:val="00D12B90"/>
    <w:rsid w:val="00D1598A"/>
    <w:rsid w:val="00D31BFA"/>
    <w:rsid w:val="00D83AF8"/>
    <w:rsid w:val="00DE52FD"/>
    <w:rsid w:val="00E10DC3"/>
    <w:rsid w:val="00E36297"/>
    <w:rsid w:val="00E87BCF"/>
    <w:rsid w:val="00E95C32"/>
    <w:rsid w:val="00EA2658"/>
    <w:rsid w:val="00EA2F27"/>
    <w:rsid w:val="00EA30B0"/>
    <w:rsid w:val="00EF6CD4"/>
    <w:rsid w:val="00F64416"/>
    <w:rsid w:val="00F90436"/>
    <w:rsid w:val="00F91390"/>
    <w:rsid w:val="00FD1093"/>
    <w:rsid w:val="00FD3B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78C2F0-6D63-4B24-B126-F106B3E3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nhideWhenUsed/>
    <w:rsid w:val="0050331C"/>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rsid w:val="0050331C"/>
  </w:style>
  <w:style w:type="paragraph" w:styleId="Rodap">
    <w:name w:val="footer"/>
    <w:basedOn w:val="Normal"/>
    <w:link w:val="RodapChar"/>
    <w:uiPriority w:val="99"/>
    <w:unhideWhenUsed/>
    <w:rsid w:val="0050331C"/>
    <w:pPr>
      <w:tabs>
        <w:tab w:val="center" w:pos="4252"/>
        <w:tab w:val="right" w:pos="8504"/>
      </w:tabs>
      <w:spacing w:after="0" w:line="240" w:lineRule="auto"/>
    </w:pPr>
  </w:style>
  <w:style w:type="character" w:customStyle="1" w:styleId="RodapChar">
    <w:name w:val="Rodapé Char"/>
    <w:basedOn w:val="Fontepargpadro"/>
    <w:link w:val="Rodap"/>
    <w:uiPriority w:val="99"/>
    <w:rsid w:val="0050331C"/>
  </w:style>
  <w:style w:type="character" w:styleId="Refdenotaderodap">
    <w:name w:val="footnote reference"/>
    <w:rsid w:val="008A7D8F"/>
    <w:rPr>
      <w:vertAlign w:val="superscript"/>
    </w:rPr>
  </w:style>
  <w:style w:type="paragraph" w:styleId="NormalWeb">
    <w:name w:val="Normal (Web)"/>
    <w:basedOn w:val="Normal"/>
    <w:uiPriority w:val="99"/>
    <w:unhideWhenUsed/>
    <w:rsid w:val="008A7D8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rsid w:val="008A7D8F"/>
    <w:pPr>
      <w:spacing w:after="0" w:line="240" w:lineRule="auto"/>
    </w:pPr>
    <w:rPr>
      <w:rFonts w:ascii="Times New Roman" w:eastAsia="SimSun" w:hAnsi="Times New Roman" w:cs="Times New Roman"/>
      <w:sz w:val="20"/>
      <w:szCs w:val="20"/>
      <w:lang w:eastAsia="pt-BR"/>
    </w:rPr>
  </w:style>
  <w:style w:type="character" w:customStyle="1" w:styleId="TextodenotaderodapChar">
    <w:name w:val="Texto de nota de rodapé Char"/>
    <w:basedOn w:val="Fontepargpadro"/>
    <w:link w:val="Textodenotaderodap"/>
    <w:rsid w:val="008A7D8F"/>
    <w:rPr>
      <w:rFonts w:ascii="Times New Roman" w:eastAsia="SimSun" w:hAnsi="Times New Roman" w:cs="Times New Roman"/>
      <w:sz w:val="20"/>
      <w:szCs w:val="20"/>
      <w:lang w:eastAsia="pt-BR"/>
    </w:rPr>
  </w:style>
  <w:style w:type="character" w:styleId="Hyperlink">
    <w:name w:val="Hyperlink"/>
    <w:uiPriority w:val="99"/>
    <w:unhideWhenUsed/>
    <w:rsid w:val="008A7D8F"/>
    <w:rPr>
      <w:color w:val="0000FF"/>
      <w:u w:val="single"/>
    </w:rPr>
  </w:style>
  <w:style w:type="character" w:styleId="TextodoEspaoReservado">
    <w:name w:val="Placeholder Text"/>
    <w:basedOn w:val="Fontepargpadro"/>
    <w:uiPriority w:val="99"/>
    <w:semiHidden/>
    <w:rsid w:val="00EA2F27"/>
    <w:rPr>
      <w:color w:val="808080"/>
    </w:rPr>
  </w:style>
  <w:style w:type="paragraph" w:styleId="PargrafodaLista">
    <w:name w:val="List Paragraph"/>
    <w:basedOn w:val="Normal"/>
    <w:uiPriority w:val="34"/>
    <w:qFormat/>
    <w:rsid w:val="00E10D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90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391</TotalTime>
  <Pages>6</Pages>
  <Words>1506</Words>
  <Characters>8135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Tico Jardim</cp:lastModifiedBy>
  <cp:revision>7</cp:revision>
  <dcterms:created xsi:type="dcterms:W3CDTF">2021-11-02T15:35:00Z</dcterms:created>
  <dcterms:modified xsi:type="dcterms:W3CDTF">2021-11-03T12:10:00Z</dcterms:modified>
</cp:coreProperties>
</file>