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FC1E" w14:textId="77777777" w:rsidR="000566AA" w:rsidRDefault="00901625">
      <w:pPr>
        <w:jc w:val="center"/>
        <w:rPr>
          <w:rFonts w:ascii="Calibri Light" w:hAnsi="Calibri Light"/>
          <w:b/>
          <w:sz w:val="26"/>
          <w:szCs w:val="26"/>
        </w:rPr>
      </w:pPr>
      <w:r>
        <w:rPr>
          <w:rFonts w:ascii="Calibri Light" w:hAnsi="Calibri Light"/>
          <w:b/>
          <w:sz w:val="26"/>
          <w:szCs w:val="26"/>
        </w:rPr>
        <w:t xml:space="preserve">PARECER DA COMISSÃO PERMANENTE DE FINANÇAS, </w:t>
      </w:r>
    </w:p>
    <w:p w14:paraId="7DEFDF97" w14:textId="71579CCF" w:rsidR="004C1005" w:rsidRDefault="00901625">
      <w:pPr>
        <w:jc w:val="center"/>
        <w:rPr>
          <w:rFonts w:ascii="Calibri Light" w:hAnsi="Calibri Light"/>
          <w:b/>
          <w:sz w:val="26"/>
          <w:szCs w:val="26"/>
        </w:rPr>
      </w:pPr>
      <w:r>
        <w:rPr>
          <w:rFonts w:ascii="Calibri Light" w:hAnsi="Calibri Light"/>
          <w:b/>
          <w:sz w:val="26"/>
          <w:szCs w:val="26"/>
        </w:rPr>
        <w:t>ORÇAMENTO, PLANEJAMENTO E TRIBUTAÇÃO.</w:t>
      </w:r>
    </w:p>
    <w:p w14:paraId="4927B7FF" w14:textId="77777777" w:rsidR="000566AA" w:rsidRDefault="000566AA">
      <w:pPr>
        <w:jc w:val="center"/>
        <w:rPr>
          <w:rFonts w:ascii="Calibri Light" w:hAnsi="Calibri Light"/>
          <w:b/>
          <w:sz w:val="26"/>
          <w:szCs w:val="26"/>
        </w:rPr>
      </w:pPr>
    </w:p>
    <w:p w14:paraId="7DEFDF98" w14:textId="77777777" w:rsidR="004C1005" w:rsidRDefault="00901625">
      <w:pPr>
        <w:jc w:val="center"/>
      </w:pPr>
      <w:r>
        <w:rPr>
          <w:rFonts w:ascii="Calibri Light" w:hAnsi="Calibri Light"/>
          <w:b/>
          <w:sz w:val="26"/>
          <w:szCs w:val="26"/>
        </w:rPr>
        <w:t>PROJETO DE LEI nº L-012/2021</w:t>
      </w:r>
    </w:p>
    <w:p w14:paraId="7DEFDF9A" w14:textId="77777777" w:rsidR="004C1005" w:rsidRDefault="004C1005">
      <w:pPr>
        <w:jc w:val="center"/>
        <w:rPr>
          <w:rFonts w:ascii="Calibri Light" w:hAnsi="Calibri Light"/>
          <w:color w:val="000000"/>
        </w:rPr>
      </w:pPr>
    </w:p>
    <w:p w14:paraId="7DEFDF9B" w14:textId="77777777" w:rsidR="004C1005" w:rsidRDefault="00901625">
      <w:pPr>
        <w:jc w:val="both"/>
        <w:rPr>
          <w:rFonts w:ascii="Calibri" w:hAnsi="Calibri"/>
          <w:sz w:val="26"/>
          <w:szCs w:val="26"/>
        </w:rPr>
      </w:pPr>
      <w:r>
        <w:rPr>
          <w:rFonts w:ascii="Calibri" w:hAnsi="Calibri"/>
          <w:sz w:val="26"/>
          <w:szCs w:val="26"/>
        </w:rPr>
        <w:t>Vem a esta Comissão de FINANÇAS, ORÇAMENTO, PLANEJAMENTO E TRIBUTAÇÃO, para parecer, PROJETO DE LEI Nº L 012/2021, de iniciativa do Exmo. Sr. Vereador Guto Garcia, que dispõe sobre a obrigatoriedade na utilização do intérprete em língua de sinais, em todos os eventos de órgãos públicos municipais, e dá outras providências.</w:t>
      </w:r>
    </w:p>
    <w:p w14:paraId="7DEFDF9C" w14:textId="77777777" w:rsidR="004C1005" w:rsidRDefault="004C1005">
      <w:pPr>
        <w:jc w:val="both"/>
        <w:rPr>
          <w:rFonts w:ascii="Calibri" w:hAnsi="Calibri"/>
          <w:sz w:val="26"/>
          <w:szCs w:val="26"/>
        </w:rPr>
      </w:pPr>
    </w:p>
    <w:p w14:paraId="7DEFDF9D" w14:textId="77777777" w:rsidR="004C1005" w:rsidRDefault="00901625">
      <w:pPr>
        <w:jc w:val="both"/>
        <w:rPr>
          <w:rFonts w:ascii="Calibri" w:hAnsi="Calibri"/>
          <w:sz w:val="26"/>
          <w:szCs w:val="26"/>
        </w:rPr>
      </w:pPr>
      <w:r>
        <w:rPr>
          <w:rFonts w:ascii="Calibri" w:hAnsi="Calibri"/>
          <w:sz w:val="26"/>
          <w:szCs w:val="26"/>
        </w:rPr>
        <w:t>Nos termos do artigo 27 do Regimento Interno, compete à COMISSÃO PERMANENTE DE FINANÇAS, ORÇAMENTO, PLANEJAMENTO E TRIBUTAÇÃO dar parecer fundamentado sobre as proposições elencadas no inciso “I “ ao “IV” do artigo supramencionado.</w:t>
      </w:r>
    </w:p>
    <w:p w14:paraId="7DEFDF9E" w14:textId="77777777" w:rsidR="004C1005" w:rsidRDefault="004C1005">
      <w:pPr>
        <w:jc w:val="both"/>
        <w:rPr>
          <w:sz w:val="26"/>
          <w:szCs w:val="26"/>
        </w:rPr>
      </w:pPr>
    </w:p>
    <w:p w14:paraId="7DEFDF9F" w14:textId="77777777" w:rsidR="004C1005" w:rsidRDefault="00901625">
      <w:pPr>
        <w:jc w:val="both"/>
        <w:rPr>
          <w:sz w:val="26"/>
          <w:szCs w:val="26"/>
        </w:rPr>
      </w:pPr>
      <w:r>
        <w:rPr>
          <w:sz w:val="26"/>
          <w:szCs w:val="26"/>
        </w:rPr>
        <w:t>Embora deva ser considerada a extrema relevância da matéria, tendo em vista a necessidade prioritária de incluir o grupo em análise, a fim de conferir todos os direitos de cidadão, não existe hoje, nos quadros da Prefeitura, profissionais habilitados, sendo certo que deverão ser criados cargos, por meio de lei de iniciativa do Chefe do Poder Executivo, e providos por meio de concurso público.</w:t>
      </w:r>
    </w:p>
    <w:p w14:paraId="7DEFDFA0" w14:textId="77777777" w:rsidR="004C1005" w:rsidRDefault="004C1005">
      <w:pPr>
        <w:jc w:val="both"/>
        <w:rPr>
          <w:rFonts w:ascii="Calibri" w:hAnsi="Calibri"/>
          <w:sz w:val="26"/>
          <w:szCs w:val="26"/>
        </w:rPr>
      </w:pPr>
    </w:p>
    <w:p w14:paraId="7DEFDFA1" w14:textId="77777777" w:rsidR="004C1005" w:rsidRDefault="00901625">
      <w:pPr>
        <w:autoSpaceDE w:val="0"/>
        <w:autoSpaceDN w:val="0"/>
        <w:adjustRightInd w:val="0"/>
        <w:jc w:val="both"/>
        <w:rPr>
          <w:i/>
        </w:rPr>
      </w:pPr>
      <w:r>
        <w:rPr>
          <w:rFonts w:ascii="Calibri" w:hAnsi="Calibri"/>
          <w:sz w:val="26"/>
          <w:szCs w:val="26"/>
        </w:rPr>
        <w:t>Considerando a existência de gastos extras para execução do Projeto de Lei em discussão, em dissonância com o preceituado no</w:t>
      </w:r>
      <w:r>
        <w:t xml:space="preserve"> art. 73 da Lei Orgânica Municipal, </w:t>
      </w:r>
      <w:r>
        <w:rPr>
          <w:i/>
        </w:rPr>
        <w:t>in verbis:</w:t>
      </w:r>
    </w:p>
    <w:p w14:paraId="7DEFDFA2" w14:textId="77777777" w:rsidR="004C1005" w:rsidRDefault="00901625">
      <w:pPr>
        <w:autoSpaceDE w:val="0"/>
        <w:autoSpaceDN w:val="0"/>
        <w:adjustRightInd w:val="0"/>
        <w:jc w:val="both"/>
        <w:rPr>
          <w:i/>
        </w:rPr>
      </w:pPr>
      <w:r>
        <w:rPr>
          <w:i/>
        </w:rPr>
        <w:tab/>
        <w:t>“Art. 73. São de iniciativa exclusiva do Prefeito as Leis que disponham sobre:</w:t>
      </w:r>
    </w:p>
    <w:p w14:paraId="7DEFDFA3" w14:textId="77777777" w:rsidR="004C1005" w:rsidRDefault="00901625">
      <w:pPr>
        <w:autoSpaceDE w:val="0"/>
        <w:autoSpaceDN w:val="0"/>
        <w:adjustRightInd w:val="0"/>
        <w:jc w:val="both"/>
        <w:rPr>
          <w:i/>
        </w:rPr>
      </w:pPr>
      <w:r>
        <w:rPr>
          <w:i/>
        </w:rPr>
        <w:tab/>
        <w:t>(...)</w:t>
      </w:r>
    </w:p>
    <w:p w14:paraId="7DEFDFA4" w14:textId="77777777" w:rsidR="004C1005" w:rsidRDefault="00901625">
      <w:pPr>
        <w:autoSpaceDE w:val="0"/>
        <w:autoSpaceDN w:val="0"/>
        <w:adjustRightInd w:val="0"/>
        <w:jc w:val="both"/>
        <w:rPr>
          <w:i/>
        </w:rPr>
      </w:pPr>
      <w:r>
        <w:rPr>
          <w:i/>
        </w:rPr>
        <w:t xml:space="preserve"> </w:t>
      </w:r>
      <w:r>
        <w:rPr>
          <w:i/>
        </w:rPr>
        <w:tab/>
        <w:t>VI – matérias que criem, ainda que indiretamente, despesas para o Erário.”</w:t>
      </w:r>
    </w:p>
    <w:p w14:paraId="7DEFDFA5" w14:textId="77777777" w:rsidR="004C1005" w:rsidRDefault="004C1005">
      <w:pPr>
        <w:jc w:val="both"/>
        <w:rPr>
          <w:sz w:val="26"/>
          <w:szCs w:val="26"/>
        </w:rPr>
      </w:pPr>
    </w:p>
    <w:p w14:paraId="7DEFDFA6" w14:textId="77777777" w:rsidR="004C1005" w:rsidRDefault="008F1AD2">
      <w:pPr>
        <w:spacing w:after="0" w:line="240" w:lineRule="auto"/>
        <w:ind w:right="-567"/>
        <w:jc w:val="both"/>
        <w:rPr>
          <w:sz w:val="26"/>
          <w:szCs w:val="26"/>
        </w:rPr>
      </w:pPr>
      <w:r>
        <w:rPr>
          <w:sz w:val="26"/>
          <w:szCs w:val="26"/>
        </w:rPr>
        <w:lastRenderedPageBreak/>
        <w:t>E</w:t>
      </w:r>
      <w:r w:rsidR="00901625">
        <w:rPr>
          <w:sz w:val="26"/>
          <w:szCs w:val="26"/>
        </w:rPr>
        <w:t>xistirão impactos financeiros e, também, a alteração na estrutura da Administração Pública, com a necessidade de criação de novos cargos.</w:t>
      </w:r>
    </w:p>
    <w:p w14:paraId="7DEFDFA7" w14:textId="77777777" w:rsidR="0015348F" w:rsidRDefault="0015348F">
      <w:pPr>
        <w:spacing w:after="0" w:line="240" w:lineRule="auto"/>
        <w:ind w:right="-567"/>
        <w:jc w:val="both"/>
        <w:rPr>
          <w:sz w:val="26"/>
          <w:szCs w:val="26"/>
        </w:rPr>
      </w:pPr>
    </w:p>
    <w:p w14:paraId="7DEFDFA8" w14:textId="77777777" w:rsidR="0015348F" w:rsidRDefault="0015348F">
      <w:pPr>
        <w:spacing w:after="0" w:line="240" w:lineRule="auto"/>
        <w:ind w:right="-567"/>
        <w:jc w:val="both"/>
        <w:rPr>
          <w:sz w:val="26"/>
          <w:szCs w:val="26"/>
        </w:rPr>
      </w:pPr>
      <w:r>
        <w:rPr>
          <w:sz w:val="26"/>
          <w:szCs w:val="26"/>
        </w:rPr>
        <w:t>Todavia, se for realizada uma alteração no Projeto de Lei em análise, com a</w:t>
      </w:r>
      <w:r w:rsidR="008F1AD2">
        <w:rPr>
          <w:sz w:val="26"/>
          <w:szCs w:val="26"/>
        </w:rPr>
        <w:t xml:space="preserve"> devida</w:t>
      </w:r>
      <w:r>
        <w:rPr>
          <w:sz w:val="26"/>
          <w:szCs w:val="26"/>
        </w:rPr>
        <w:t xml:space="preserve"> adequação, para que seja incluído na redação, a informação </w:t>
      </w:r>
      <w:r w:rsidR="008F1AD2">
        <w:rPr>
          <w:sz w:val="26"/>
          <w:szCs w:val="26"/>
        </w:rPr>
        <w:t xml:space="preserve">de </w:t>
      </w:r>
      <w:r>
        <w:rPr>
          <w:sz w:val="26"/>
          <w:szCs w:val="26"/>
        </w:rPr>
        <w:t>que a mão de obra a ser utilizada será mediante convênio, com entidades específicas da área</w:t>
      </w:r>
      <w:r w:rsidR="008F1AD2">
        <w:rPr>
          <w:sz w:val="26"/>
          <w:szCs w:val="26"/>
        </w:rPr>
        <w:t xml:space="preserve"> de libras e sinais, bem como a</w:t>
      </w:r>
      <w:r>
        <w:rPr>
          <w:sz w:val="26"/>
          <w:szCs w:val="26"/>
        </w:rPr>
        <w:t xml:space="preserve"> fonte </w:t>
      </w:r>
      <w:r w:rsidR="008F1AD2">
        <w:rPr>
          <w:sz w:val="26"/>
          <w:szCs w:val="26"/>
        </w:rPr>
        <w:t>de onde virão os recursos eventualmente despendidos, poderá, sim, ter prosseguimento o Projeto de Lei.</w:t>
      </w:r>
      <w:r>
        <w:rPr>
          <w:sz w:val="26"/>
          <w:szCs w:val="26"/>
        </w:rPr>
        <w:t xml:space="preserve"> </w:t>
      </w:r>
    </w:p>
    <w:p w14:paraId="7DEFDFA9" w14:textId="77777777" w:rsidR="004C1005" w:rsidRDefault="004C1005">
      <w:pPr>
        <w:jc w:val="both"/>
        <w:rPr>
          <w:rFonts w:ascii="Calibri" w:hAnsi="Calibri"/>
          <w:sz w:val="26"/>
          <w:szCs w:val="26"/>
        </w:rPr>
      </w:pPr>
    </w:p>
    <w:p w14:paraId="02078CE3" w14:textId="77777777" w:rsidR="00AD0E23" w:rsidRDefault="00901625" w:rsidP="00834E42">
      <w:pPr>
        <w:jc w:val="both"/>
        <w:rPr>
          <w:rFonts w:ascii="Calibri" w:hAnsi="Calibri"/>
          <w:sz w:val="26"/>
          <w:szCs w:val="26"/>
        </w:rPr>
      </w:pPr>
      <w:r>
        <w:rPr>
          <w:rFonts w:ascii="Calibri" w:hAnsi="Calibri"/>
          <w:sz w:val="26"/>
          <w:szCs w:val="26"/>
        </w:rPr>
        <w:t>Concluo, pela leitura e anál</w:t>
      </w:r>
      <w:r w:rsidR="008F1AD2">
        <w:rPr>
          <w:rFonts w:ascii="Calibri" w:hAnsi="Calibri"/>
          <w:sz w:val="26"/>
          <w:szCs w:val="26"/>
        </w:rPr>
        <w:t xml:space="preserve">ise da proposição em estudo, </w:t>
      </w:r>
      <w:r w:rsidR="008F1AD2" w:rsidRPr="008F1AD2">
        <w:rPr>
          <w:rFonts w:ascii="Calibri" w:hAnsi="Calibri"/>
          <w:b/>
          <w:sz w:val="26"/>
          <w:szCs w:val="26"/>
        </w:rPr>
        <w:t>desde que atendidos aos questionamentos elencados</w:t>
      </w:r>
      <w:r w:rsidR="008F1AD2">
        <w:rPr>
          <w:rFonts w:ascii="Calibri" w:hAnsi="Calibri"/>
          <w:sz w:val="26"/>
          <w:szCs w:val="26"/>
        </w:rPr>
        <w:t>,</w:t>
      </w:r>
      <w:r>
        <w:rPr>
          <w:rFonts w:ascii="Calibri" w:hAnsi="Calibri"/>
          <w:sz w:val="26"/>
          <w:szCs w:val="26"/>
        </w:rPr>
        <w:t xml:space="preserve"> </w:t>
      </w:r>
      <w:r w:rsidR="008F1AD2" w:rsidRPr="008F1AD2">
        <w:rPr>
          <w:rFonts w:ascii="Calibri" w:hAnsi="Calibri"/>
          <w:bCs/>
          <w:sz w:val="26"/>
          <w:szCs w:val="26"/>
        </w:rPr>
        <w:t>que</w:t>
      </w:r>
      <w:r w:rsidRPr="008F1AD2">
        <w:rPr>
          <w:rFonts w:ascii="Calibri" w:hAnsi="Calibri"/>
          <w:bCs/>
          <w:sz w:val="26"/>
          <w:szCs w:val="26"/>
        </w:rPr>
        <w:t xml:space="preserve"> preenche</w:t>
      </w:r>
      <w:r w:rsidR="008F1AD2" w:rsidRPr="008F1AD2">
        <w:rPr>
          <w:rFonts w:ascii="Calibri" w:hAnsi="Calibri"/>
          <w:bCs/>
          <w:sz w:val="26"/>
          <w:szCs w:val="26"/>
        </w:rPr>
        <w:t xml:space="preserve"> </w:t>
      </w:r>
      <w:r>
        <w:rPr>
          <w:rFonts w:ascii="Calibri" w:hAnsi="Calibri"/>
          <w:sz w:val="26"/>
          <w:szCs w:val="26"/>
        </w:rPr>
        <w:t>os requisitos necessários para sua tramitação.</w:t>
      </w:r>
    </w:p>
    <w:p w14:paraId="76B48A7F" w14:textId="531FDCC7" w:rsidR="00AD0E23" w:rsidRPr="00AD0E23" w:rsidRDefault="00AD0E23" w:rsidP="00AD0E23">
      <w:pPr>
        <w:jc w:val="center"/>
        <w:rPr>
          <w:rFonts w:ascii="Calibri" w:hAnsi="Calibri"/>
          <w:sz w:val="26"/>
          <w:szCs w:val="26"/>
        </w:rPr>
      </w:pPr>
      <w:r w:rsidRPr="00AD0E23">
        <w:rPr>
          <w:rFonts w:ascii="Calibri" w:hAnsi="Calibri"/>
          <w:sz w:val="26"/>
          <w:szCs w:val="26"/>
        </w:rPr>
        <w:t xml:space="preserve">Sala das Comissões, </w:t>
      </w:r>
      <w:r>
        <w:rPr>
          <w:rFonts w:ascii="Calibri" w:hAnsi="Calibri"/>
          <w:sz w:val="26"/>
          <w:szCs w:val="26"/>
        </w:rPr>
        <w:t>02</w:t>
      </w:r>
      <w:r w:rsidRPr="00AD0E23">
        <w:rPr>
          <w:rFonts w:ascii="Calibri" w:hAnsi="Calibri"/>
          <w:sz w:val="26"/>
          <w:szCs w:val="26"/>
        </w:rPr>
        <w:t xml:space="preserve"> de </w:t>
      </w:r>
      <w:r>
        <w:rPr>
          <w:rFonts w:ascii="Calibri" w:hAnsi="Calibri"/>
          <w:sz w:val="26"/>
          <w:szCs w:val="26"/>
        </w:rPr>
        <w:t>junh</w:t>
      </w:r>
      <w:r w:rsidRPr="00AD0E23">
        <w:rPr>
          <w:rFonts w:ascii="Calibri" w:hAnsi="Calibri"/>
          <w:sz w:val="26"/>
          <w:szCs w:val="26"/>
        </w:rPr>
        <w:t>o de 2021.</w:t>
      </w:r>
    </w:p>
    <w:p w14:paraId="07322686" w14:textId="77777777" w:rsidR="00AD0E23" w:rsidRDefault="00AD0E23" w:rsidP="00AD0E23">
      <w:pPr>
        <w:jc w:val="center"/>
        <w:rPr>
          <w:rFonts w:ascii="Calibri Light" w:hAnsi="Calibri Light" w:cs="Calibri Light"/>
        </w:rPr>
      </w:pPr>
      <w:r>
        <w:rPr>
          <w:noProof/>
        </w:rPr>
        <w:drawing>
          <wp:inline distT="0" distB="0" distL="0" distR="0" wp14:anchorId="5C9FB5EE" wp14:editId="76134D17">
            <wp:extent cx="2752725" cy="857250"/>
            <wp:effectExtent l="0" t="0" r="0" b="0"/>
            <wp:docPr id="2074191397" name="Picture 7" descr="Texto, Tabela,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191397" name="Picture 7" descr="Texto, Tabela, Carta&#10;&#10;Descrição gerada automaticamente"/>
                    <pic:cNvPicPr/>
                  </pic:nvPicPr>
                  <pic:blipFill>
                    <a:blip r:embed="rId7">
                      <a:extLst>
                        <a:ext uri="{28A0092B-C50C-407E-A947-70E740481C1C}">
                          <a14:useLocalDpi xmlns:a14="http://schemas.microsoft.com/office/drawing/2010/main" val="0"/>
                        </a:ext>
                      </a:extLst>
                    </a:blip>
                    <a:srcRect l="33464" t="54143" r="28905" b="37627"/>
                    <a:stretch>
                      <a:fillRect/>
                    </a:stretch>
                  </pic:blipFill>
                  <pic:spPr bwMode="auto">
                    <a:xfrm>
                      <a:off x="0" y="0"/>
                      <a:ext cx="2752725" cy="857250"/>
                    </a:xfrm>
                    <a:prstGeom prst="rect">
                      <a:avLst/>
                    </a:prstGeom>
                    <a:noFill/>
                    <a:ln>
                      <a:noFill/>
                    </a:ln>
                  </pic:spPr>
                </pic:pic>
              </a:graphicData>
            </a:graphic>
          </wp:inline>
        </w:drawing>
      </w:r>
    </w:p>
    <w:p w14:paraId="29FC9AF4" w14:textId="77777777" w:rsidR="00AD0E23" w:rsidRPr="00A51CC6" w:rsidRDefault="00AD0E23" w:rsidP="00AD0E23">
      <w:pPr>
        <w:jc w:val="center"/>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273"/>
        <w:gridCol w:w="3346"/>
        <w:gridCol w:w="2084"/>
      </w:tblGrid>
      <w:tr w:rsidR="00AD0E23" w:rsidRPr="00A51CC6" w14:paraId="0B391220" w14:textId="77777777" w:rsidTr="001617F7">
        <w:trPr>
          <w:trHeight w:val="624"/>
        </w:trPr>
        <w:tc>
          <w:tcPr>
            <w:tcW w:w="1809" w:type="dxa"/>
            <w:shd w:val="clear" w:color="auto" w:fill="auto"/>
            <w:vAlign w:val="center"/>
          </w:tcPr>
          <w:p w14:paraId="5AD145ED"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Vereador</w:t>
            </w:r>
          </w:p>
        </w:tc>
        <w:tc>
          <w:tcPr>
            <w:tcW w:w="1276" w:type="dxa"/>
            <w:shd w:val="clear" w:color="auto" w:fill="auto"/>
            <w:vAlign w:val="center"/>
          </w:tcPr>
          <w:p w14:paraId="29747349"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Membros</w:t>
            </w:r>
          </w:p>
        </w:tc>
        <w:tc>
          <w:tcPr>
            <w:tcW w:w="3402" w:type="dxa"/>
            <w:shd w:val="clear" w:color="auto" w:fill="auto"/>
            <w:vAlign w:val="center"/>
          </w:tcPr>
          <w:p w14:paraId="7377775B"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Voto do Parecer</w:t>
            </w:r>
          </w:p>
        </w:tc>
        <w:tc>
          <w:tcPr>
            <w:tcW w:w="2107" w:type="dxa"/>
            <w:shd w:val="clear" w:color="auto" w:fill="auto"/>
            <w:vAlign w:val="center"/>
          </w:tcPr>
          <w:p w14:paraId="492AD4F8"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Assinatura</w:t>
            </w:r>
          </w:p>
        </w:tc>
      </w:tr>
      <w:tr w:rsidR="00AD0E23" w:rsidRPr="00A51CC6" w14:paraId="2CC15C8B" w14:textId="77777777" w:rsidTr="001617F7">
        <w:trPr>
          <w:trHeight w:val="624"/>
        </w:trPr>
        <w:tc>
          <w:tcPr>
            <w:tcW w:w="1809" w:type="dxa"/>
            <w:shd w:val="clear" w:color="auto" w:fill="auto"/>
            <w:vAlign w:val="center"/>
          </w:tcPr>
          <w:p w14:paraId="27791BE9"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Paulo Paes</w:t>
            </w:r>
          </w:p>
        </w:tc>
        <w:tc>
          <w:tcPr>
            <w:tcW w:w="1276" w:type="dxa"/>
            <w:shd w:val="clear" w:color="auto" w:fill="auto"/>
            <w:vAlign w:val="center"/>
          </w:tcPr>
          <w:p w14:paraId="6C307BA7"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Presidente</w:t>
            </w:r>
          </w:p>
        </w:tc>
        <w:tc>
          <w:tcPr>
            <w:tcW w:w="3402" w:type="dxa"/>
            <w:shd w:val="clear" w:color="auto" w:fill="auto"/>
            <w:vAlign w:val="center"/>
          </w:tcPr>
          <w:p w14:paraId="1B04B6D9"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      ) de acordo (      ) contrário</w:t>
            </w:r>
          </w:p>
        </w:tc>
        <w:tc>
          <w:tcPr>
            <w:tcW w:w="2107" w:type="dxa"/>
            <w:shd w:val="clear" w:color="auto" w:fill="auto"/>
            <w:vAlign w:val="center"/>
          </w:tcPr>
          <w:p w14:paraId="1EE75C01" w14:textId="77777777" w:rsidR="00AD0E23" w:rsidRPr="00A51CC6" w:rsidRDefault="00AD0E23" w:rsidP="001617F7">
            <w:pPr>
              <w:jc w:val="center"/>
              <w:rPr>
                <w:rFonts w:ascii="Calibri Light" w:hAnsi="Calibri Light" w:cs="Calibri Light"/>
              </w:rPr>
            </w:pPr>
          </w:p>
        </w:tc>
      </w:tr>
      <w:tr w:rsidR="00AD0E23" w:rsidRPr="00A51CC6" w14:paraId="7BC19191" w14:textId="77777777" w:rsidTr="001617F7">
        <w:trPr>
          <w:trHeight w:val="624"/>
        </w:trPr>
        <w:tc>
          <w:tcPr>
            <w:tcW w:w="1809" w:type="dxa"/>
            <w:shd w:val="clear" w:color="auto" w:fill="auto"/>
            <w:vAlign w:val="center"/>
          </w:tcPr>
          <w:p w14:paraId="11081398"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Guto Garcia</w:t>
            </w:r>
          </w:p>
        </w:tc>
        <w:tc>
          <w:tcPr>
            <w:tcW w:w="1276" w:type="dxa"/>
            <w:shd w:val="clear" w:color="auto" w:fill="auto"/>
            <w:vAlign w:val="center"/>
          </w:tcPr>
          <w:p w14:paraId="7DE4728D"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Titular</w:t>
            </w:r>
          </w:p>
        </w:tc>
        <w:tc>
          <w:tcPr>
            <w:tcW w:w="3402" w:type="dxa"/>
            <w:shd w:val="clear" w:color="auto" w:fill="auto"/>
            <w:vAlign w:val="center"/>
          </w:tcPr>
          <w:p w14:paraId="400B7E3D"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      ) de acordo (      ) contrário</w:t>
            </w:r>
          </w:p>
        </w:tc>
        <w:tc>
          <w:tcPr>
            <w:tcW w:w="2107" w:type="dxa"/>
            <w:shd w:val="clear" w:color="auto" w:fill="auto"/>
            <w:vAlign w:val="center"/>
          </w:tcPr>
          <w:p w14:paraId="13F6BD1C" w14:textId="77777777" w:rsidR="00AD0E23" w:rsidRPr="00A51CC6" w:rsidRDefault="00AD0E23" w:rsidP="001617F7">
            <w:pPr>
              <w:jc w:val="center"/>
              <w:rPr>
                <w:rFonts w:ascii="Calibri Light" w:hAnsi="Calibri Light" w:cs="Calibri Light"/>
              </w:rPr>
            </w:pPr>
          </w:p>
        </w:tc>
      </w:tr>
      <w:tr w:rsidR="00AD0E23" w:rsidRPr="00A51CC6" w14:paraId="3A036E3D" w14:textId="77777777" w:rsidTr="001617F7">
        <w:trPr>
          <w:trHeight w:val="624"/>
        </w:trPr>
        <w:tc>
          <w:tcPr>
            <w:tcW w:w="1809" w:type="dxa"/>
            <w:shd w:val="clear" w:color="auto" w:fill="auto"/>
            <w:vAlign w:val="center"/>
          </w:tcPr>
          <w:p w14:paraId="4BFA62EF"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José Prestes</w:t>
            </w:r>
          </w:p>
        </w:tc>
        <w:tc>
          <w:tcPr>
            <w:tcW w:w="1276" w:type="dxa"/>
            <w:shd w:val="clear" w:color="auto" w:fill="auto"/>
            <w:vAlign w:val="center"/>
          </w:tcPr>
          <w:p w14:paraId="5FB23D05"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Suplente</w:t>
            </w:r>
          </w:p>
        </w:tc>
        <w:tc>
          <w:tcPr>
            <w:tcW w:w="3402" w:type="dxa"/>
            <w:shd w:val="clear" w:color="auto" w:fill="auto"/>
            <w:vAlign w:val="center"/>
          </w:tcPr>
          <w:p w14:paraId="53DBCC9F" w14:textId="77777777" w:rsidR="00AD0E23" w:rsidRPr="00A51CC6" w:rsidRDefault="00AD0E23" w:rsidP="001617F7">
            <w:pPr>
              <w:jc w:val="center"/>
              <w:rPr>
                <w:rFonts w:ascii="Calibri Light" w:hAnsi="Calibri Light" w:cs="Calibri Light"/>
              </w:rPr>
            </w:pPr>
            <w:r w:rsidRPr="00A51CC6">
              <w:rPr>
                <w:rFonts w:ascii="Calibri Light" w:hAnsi="Calibri Light" w:cs="Calibri Light"/>
              </w:rPr>
              <w:t>(      ) de acordo (      ) contrário</w:t>
            </w:r>
          </w:p>
        </w:tc>
        <w:tc>
          <w:tcPr>
            <w:tcW w:w="2107" w:type="dxa"/>
            <w:shd w:val="clear" w:color="auto" w:fill="auto"/>
            <w:vAlign w:val="center"/>
          </w:tcPr>
          <w:p w14:paraId="3245C781" w14:textId="77777777" w:rsidR="00AD0E23" w:rsidRPr="00A51CC6" w:rsidRDefault="00AD0E23" w:rsidP="001617F7">
            <w:pPr>
              <w:jc w:val="center"/>
              <w:rPr>
                <w:rFonts w:ascii="Calibri Light" w:hAnsi="Calibri Light" w:cs="Calibri Light"/>
              </w:rPr>
            </w:pPr>
          </w:p>
        </w:tc>
      </w:tr>
    </w:tbl>
    <w:p w14:paraId="30A8F3DA" w14:textId="77777777" w:rsidR="00AD0E23" w:rsidRPr="00A51CC6" w:rsidRDefault="00AD0E23" w:rsidP="00AD0E23">
      <w:pPr>
        <w:jc w:val="center"/>
        <w:rPr>
          <w:rFonts w:ascii="Calibri Light" w:hAnsi="Calibri Light" w:cs="Calibri Light"/>
        </w:rPr>
      </w:pPr>
      <w:r w:rsidRPr="00A51CC6">
        <w:rPr>
          <w:rFonts w:ascii="Calibri Light" w:hAnsi="Calibri Light" w:cs="Calibri Light"/>
        </w:rPr>
        <w:t xml:space="preserve">Parecer: (       ) Aprovado  (       ) Rejeitado   </w:t>
      </w:r>
    </w:p>
    <w:p w14:paraId="7DEFDFC2" w14:textId="6F35E7B9" w:rsidR="004C1005" w:rsidRDefault="00901625" w:rsidP="00834E42">
      <w:pPr>
        <w:jc w:val="both"/>
        <w:rPr>
          <w:rFonts w:ascii="Calibri Light" w:hAnsi="Calibri Light" w:cs="Calibri Light"/>
        </w:rPr>
      </w:pPr>
      <w:r>
        <w:rPr>
          <w:rFonts w:ascii="Calibri Light" w:hAnsi="Calibri Light" w:cs="Calibri Light"/>
        </w:rPr>
        <w:t xml:space="preserve"> </w:t>
      </w:r>
    </w:p>
    <w:sectPr w:rsidR="004C1005">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4747" w14:textId="77777777" w:rsidR="00DD1C84" w:rsidRDefault="00DD1C84">
      <w:pPr>
        <w:spacing w:after="0" w:line="240" w:lineRule="auto"/>
      </w:pPr>
      <w:r>
        <w:separator/>
      </w:r>
    </w:p>
  </w:endnote>
  <w:endnote w:type="continuationSeparator" w:id="0">
    <w:p w14:paraId="0C3FBFF4" w14:textId="77777777" w:rsidR="00DD1C84" w:rsidRDefault="00DD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DE73F" w14:textId="77777777" w:rsidR="00DD1C84" w:rsidRDefault="00DD1C84">
      <w:pPr>
        <w:spacing w:after="0" w:line="240" w:lineRule="auto"/>
      </w:pPr>
      <w:r>
        <w:separator/>
      </w:r>
    </w:p>
  </w:footnote>
  <w:footnote w:type="continuationSeparator" w:id="0">
    <w:p w14:paraId="6BF17D1A" w14:textId="77777777" w:rsidR="00DD1C84" w:rsidRDefault="00DD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DFCC" w14:textId="77777777" w:rsidR="004C1005" w:rsidRDefault="00901625">
    <w:pPr>
      <w:pStyle w:val="Cabealho"/>
      <w:jc w:val="center"/>
      <w:rPr>
        <w:rFonts w:ascii="Verdana" w:hAnsi="Verdana"/>
        <w:b/>
      </w:rPr>
    </w:pPr>
    <w:r>
      <w:rPr>
        <w:noProof/>
        <w:lang w:eastAsia="pt-BR"/>
      </w:rPr>
      <w:drawing>
        <wp:inline distT="0" distB="0" distL="0" distR="0" wp14:anchorId="7DEFDFD2" wp14:editId="7DEFDFD3">
          <wp:extent cx="590550" cy="5429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0550" cy="542925"/>
                  </a:xfrm>
                  <a:prstGeom prst="rect">
                    <a:avLst/>
                  </a:prstGeom>
                </pic:spPr>
              </pic:pic>
            </a:graphicData>
          </a:graphic>
        </wp:inline>
      </w:drawing>
    </w:r>
  </w:p>
  <w:p w14:paraId="7DEFDFCD" w14:textId="77777777" w:rsidR="004C1005" w:rsidRDefault="00901625">
    <w:pPr>
      <w:pStyle w:val="Cabealho"/>
      <w:jc w:val="center"/>
      <w:rPr>
        <w:rFonts w:ascii="Verdana" w:hAnsi="Verdana"/>
        <w:b/>
      </w:rPr>
    </w:pPr>
    <w:r>
      <w:rPr>
        <w:rFonts w:ascii="Verdana" w:hAnsi="Verdana"/>
        <w:b/>
      </w:rPr>
      <w:t>ESTADO DO RIO DE JANEIRO</w:t>
    </w:r>
  </w:p>
  <w:p w14:paraId="7DEFDFCE" w14:textId="77777777" w:rsidR="004C1005" w:rsidRDefault="00901625">
    <w:pPr>
      <w:pStyle w:val="Cabealho"/>
      <w:jc w:val="center"/>
      <w:rPr>
        <w:rFonts w:ascii="Verdana" w:hAnsi="Verdana"/>
        <w:b/>
      </w:rPr>
    </w:pPr>
    <w:r>
      <w:rPr>
        <w:rFonts w:ascii="Verdana" w:hAnsi="Verdana"/>
        <w:b/>
      </w:rPr>
      <w:t>CÂMARA MUNICIPAL DE MACAÉ</w:t>
    </w:r>
  </w:p>
  <w:p w14:paraId="7DEFDFCF" w14:textId="77777777" w:rsidR="004C1005" w:rsidRDefault="00901625">
    <w:pPr>
      <w:pStyle w:val="Cabealho"/>
      <w:jc w:val="center"/>
      <w:rPr>
        <w:rFonts w:ascii="Verdana" w:hAnsi="Verdana"/>
        <w:b/>
        <w:sz w:val="16"/>
        <w:szCs w:val="16"/>
      </w:rPr>
    </w:pPr>
    <w:r>
      <w:rPr>
        <w:rFonts w:ascii="Verdana" w:hAnsi="Verdana"/>
        <w:b/>
        <w:sz w:val="16"/>
        <w:szCs w:val="16"/>
      </w:rPr>
      <w:t>Macaé Capital do Petróleo</w:t>
    </w:r>
  </w:p>
  <w:p w14:paraId="7DEFDFD0" w14:textId="77777777" w:rsidR="004C1005" w:rsidRDefault="00901625">
    <w:pPr>
      <w:pStyle w:val="Cabealho"/>
      <w:jc w:val="center"/>
    </w:pPr>
    <w:r>
      <w:rPr>
        <w:rFonts w:ascii="Verdana" w:hAnsi="Verdana"/>
        <w:b/>
        <w:sz w:val="16"/>
        <w:szCs w:val="16"/>
      </w:rPr>
      <w:t>Lei Estadual nº 6081 de 21.11.2011</w:t>
    </w:r>
  </w:p>
  <w:p w14:paraId="7DEFDFD1" w14:textId="77777777" w:rsidR="004C1005" w:rsidRDefault="004C100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90"/>
    <w:rsid w:val="CF9D4C07"/>
    <w:rsid w:val="CFED2EF5"/>
    <w:rsid w:val="FFB6B296"/>
    <w:rsid w:val="000566AA"/>
    <w:rsid w:val="00075C9F"/>
    <w:rsid w:val="0011127A"/>
    <w:rsid w:val="0015348F"/>
    <w:rsid w:val="002452DC"/>
    <w:rsid w:val="00315458"/>
    <w:rsid w:val="00383526"/>
    <w:rsid w:val="004C1005"/>
    <w:rsid w:val="0050331C"/>
    <w:rsid w:val="006B1E0C"/>
    <w:rsid w:val="006E7569"/>
    <w:rsid w:val="007F54FD"/>
    <w:rsid w:val="00834E42"/>
    <w:rsid w:val="008F1AD2"/>
    <w:rsid w:val="00901625"/>
    <w:rsid w:val="00941A56"/>
    <w:rsid w:val="00AD0E23"/>
    <w:rsid w:val="00C14C63"/>
    <w:rsid w:val="00D12B90"/>
    <w:rsid w:val="00D83AF8"/>
    <w:rsid w:val="00DB5111"/>
    <w:rsid w:val="00DD1C84"/>
    <w:rsid w:val="00EA636B"/>
    <w:rsid w:val="00F91390"/>
    <w:rsid w:val="57AB5312"/>
    <w:rsid w:val="7E7A3335"/>
    <w:rsid w:val="7FDBCA6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EFDF96"/>
  <w15:docId w15:val="{4718D3E3-4D35-4293-9035-B382A0C9F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pPr>
      <w:tabs>
        <w:tab w:val="center" w:pos="4252"/>
        <w:tab w:val="right" w:pos="8504"/>
      </w:tabs>
      <w:spacing w:after="0" w:line="240" w:lineRule="auto"/>
    </w:p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style>
  <w:style w:type="character" w:customStyle="1" w:styleId="RodapChar">
    <w:name w:val="Rodapé Char"/>
    <w:basedOn w:val="Fontepargpadro"/>
    <w:link w:val="Rodap"/>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378</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Vanessa Xavier</cp:lastModifiedBy>
  <cp:revision>6</cp:revision>
  <dcterms:created xsi:type="dcterms:W3CDTF">2021-06-02T19:27:00Z</dcterms:created>
  <dcterms:modified xsi:type="dcterms:W3CDTF">2021-06-02T19:37:00Z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1046-10.1.0.5707</vt:lpwstr>
  </property>
</Properties>
</file>